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10379">
      <w:pPr>
        <w:pStyle w:val="4"/>
        <w:jc w:val="center"/>
        <w:rPr>
          <w:color w:val="auto"/>
          <w:highlight w:val="none"/>
        </w:rPr>
      </w:pPr>
      <w:r>
        <w:rPr>
          <w:b/>
          <w:color w:val="auto"/>
          <w:sz w:val="36"/>
          <w:highlight w:val="none"/>
        </w:rPr>
        <w:t>第二章 采购需求</w:t>
      </w:r>
    </w:p>
    <w:p w14:paraId="4C372C4D">
      <w:pPr>
        <w:pStyle w:val="4"/>
        <w:outlineLvl w:val="2"/>
        <w:rPr>
          <w:color w:val="auto"/>
          <w:highlight w:val="none"/>
        </w:rPr>
      </w:pPr>
      <w:r>
        <w:rPr>
          <w:b/>
          <w:color w:val="auto"/>
          <w:sz w:val="28"/>
          <w:highlight w:val="none"/>
        </w:rPr>
        <w:t>一、项目概况：</w:t>
      </w:r>
    </w:p>
    <w:p w14:paraId="6F558BBC">
      <w:pPr>
        <w:pStyle w:val="4"/>
        <w:rPr>
          <w:color w:val="auto"/>
          <w:highlight w:val="none"/>
        </w:rPr>
      </w:pPr>
      <w:r>
        <w:rPr>
          <w:color w:val="auto"/>
          <w:sz w:val="24"/>
          <w:highlight w:val="none"/>
        </w:rPr>
        <w:t>为切实加强工程安全生产施工管理，做好安全隐患排查和整治工作，根据《建设工程安全生产管理条例》、《建筑起重机械安全监督管理规定》、广东省住建厅《关于印发房屋市政工程危险性较大的分部分项工程安全管理实施细则的通知》、广州市住建局《关于进一步加强建筑起重机械安全管理的通知》等，结合202</w:t>
      </w:r>
      <w:r>
        <w:rPr>
          <w:rFonts w:hint="eastAsia"/>
          <w:color w:val="auto"/>
          <w:sz w:val="24"/>
          <w:highlight w:val="none"/>
          <w:lang w:val="en-US" w:eastAsia="zh-CN"/>
        </w:rPr>
        <w:t>5</w:t>
      </w:r>
      <w:r>
        <w:rPr>
          <w:color w:val="auto"/>
          <w:sz w:val="24"/>
          <w:highlight w:val="none"/>
        </w:rPr>
        <w:t>年建筑起重机械执法抽检工作的成效，202</w:t>
      </w:r>
      <w:r>
        <w:rPr>
          <w:rFonts w:hint="eastAsia"/>
          <w:color w:val="auto"/>
          <w:sz w:val="24"/>
          <w:highlight w:val="none"/>
          <w:lang w:val="en-US" w:eastAsia="zh-CN"/>
        </w:rPr>
        <w:t>6</w:t>
      </w:r>
      <w:r>
        <w:rPr>
          <w:color w:val="auto"/>
          <w:sz w:val="24"/>
          <w:highlight w:val="none"/>
        </w:rPr>
        <w:t>年度计划继续开展建筑起重机械的监督执法抽查检测工作，进一步加强建设工程起重机械的安全监督管理，防范重特大安全事故的发生。</w:t>
      </w:r>
    </w:p>
    <w:p w14:paraId="3FA4FD77">
      <w:pPr>
        <w:pStyle w:val="4"/>
        <w:ind w:firstLine="480"/>
        <w:jc w:val="left"/>
        <w:rPr>
          <w:color w:val="auto"/>
          <w:highlight w:val="none"/>
        </w:rPr>
      </w:pPr>
      <w:r>
        <w:rPr>
          <w:color w:val="auto"/>
          <w:sz w:val="24"/>
          <w:highlight w:val="none"/>
        </w:rPr>
        <w:t>服务地点拟划分为两个</w:t>
      </w:r>
      <w:r>
        <w:rPr>
          <w:rFonts w:hint="eastAsia"/>
          <w:color w:val="auto"/>
          <w:sz w:val="24"/>
          <w:highlight w:val="none"/>
          <w:lang w:eastAsia="zh-CN"/>
        </w:rPr>
        <w:t>子包</w:t>
      </w:r>
      <w:r>
        <w:rPr>
          <w:color w:val="auto"/>
          <w:sz w:val="24"/>
          <w:highlight w:val="none"/>
        </w:rPr>
        <w:t>区域（两个</w:t>
      </w:r>
      <w:r>
        <w:rPr>
          <w:rFonts w:hint="eastAsia"/>
          <w:color w:val="auto"/>
          <w:sz w:val="24"/>
          <w:highlight w:val="none"/>
          <w:lang w:eastAsia="zh-CN"/>
        </w:rPr>
        <w:t>子包</w:t>
      </w:r>
      <w:r>
        <w:rPr>
          <w:color w:val="auto"/>
          <w:sz w:val="24"/>
          <w:highlight w:val="none"/>
        </w:rPr>
        <w:t>的起重设备总量相近）：</w:t>
      </w:r>
      <w:r>
        <w:rPr>
          <w:rFonts w:hint="eastAsia"/>
          <w:color w:val="auto"/>
          <w:sz w:val="24"/>
          <w:highlight w:val="none"/>
        </w:rPr>
        <w:t>包组一，黄埔街道、红山街道、鱼珠街道、大沙街道、文冲街道、穗东街道、南岗街道、长洲街道、夏港街道、云埔街道、生物岛；包组</w:t>
      </w:r>
      <w:r>
        <w:rPr>
          <w:rFonts w:hint="eastAsia"/>
          <w:color w:val="auto"/>
          <w:sz w:val="24"/>
          <w:highlight w:val="none"/>
          <w:lang w:eastAsia="zh-CN"/>
        </w:rPr>
        <w:t>二</w:t>
      </w:r>
      <w:r>
        <w:rPr>
          <w:rFonts w:hint="eastAsia"/>
          <w:color w:val="auto"/>
          <w:sz w:val="24"/>
          <w:highlight w:val="none"/>
        </w:rPr>
        <w:t>，辖区除“</w:t>
      </w:r>
      <w:r>
        <w:rPr>
          <w:rFonts w:hint="eastAsia"/>
          <w:color w:val="auto"/>
          <w:sz w:val="24"/>
          <w:highlight w:val="none"/>
          <w:lang w:eastAsia="zh-CN"/>
        </w:rPr>
        <w:t>包组</w:t>
      </w:r>
      <w:r>
        <w:rPr>
          <w:rFonts w:hint="eastAsia"/>
          <w:color w:val="auto"/>
          <w:sz w:val="24"/>
          <w:highlight w:val="none"/>
        </w:rPr>
        <w:t>一”以外的区域。中标的两家第三方检测服务机构可根据专项工作开展情况或分别按照上半年和下半年，包组一和包组</w:t>
      </w:r>
      <w:r>
        <w:rPr>
          <w:rFonts w:hint="eastAsia"/>
          <w:color w:val="auto"/>
          <w:sz w:val="24"/>
          <w:highlight w:val="none"/>
          <w:lang w:eastAsia="zh-CN"/>
        </w:rPr>
        <w:t>二</w:t>
      </w:r>
      <w:r>
        <w:rPr>
          <w:rFonts w:hint="eastAsia"/>
          <w:color w:val="auto"/>
          <w:sz w:val="24"/>
          <w:highlight w:val="none"/>
        </w:rPr>
        <w:t>两个区域进行轮换抽检或根据实际工作需要进行适当调剂。</w:t>
      </w:r>
    </w:p>
    <w:p w14:paraId="30B6B90C">
      <w:pPr>
        <w:pStyle w:val="4"/>
        <w:ind w:firstLine="480"/>
        <w:jc w:val="left"/>
        <w:rPr>
          <w:color w:val="auto"/>
          <w:highlight w:val="none"/>
        </w:rPr>
      </w:pPr>
      <w:r>
        <w:rPr>
          <w:color w:val="auto"/>
          <w:sz w:val="24"/>
          <w:highlight w:val="none"/>
        </w:rPr>
        <w:t xml:space="preserve">      本项目的包组一、包组二可兼投不可兼中，评标委员会根据包组一、包组二的先后顺序进行评审。若某投标人在包组一已经推荐为第一中标候选人，则该投标人在后续包组二中不再</w:t>
      </w:r>
      <w:r>
        <w:rPr>
          <w:rFonts w:hint="eastAsia"/>
          <w:color w:val="auto"/>
          <w:sz w:val="24"/>
          <w:highlight w:val="none"/>
          <w:lang w:eastAsia="zh-CN"/>
        </w:rPr>
        <w:t>推荐为</w:t>
      </w:r>
      <w:r>
        <w:rPr>
          <w:color w:val="auto"/>
          <w:sz w:val="24"/>
          <w:highlight w:val="none"/>
        </w:rPr>
        <w:t>第一中标候选人</w:t>
      </w:r>
      <w:r>
        <w:rPr>
          <w:rFonts w:hint="eastAsia"/>
          <w:color w:val="auto"/>
          <w:sz w:val="24"/>
          <w:highlight w:val="none"/>
          <w:lang w:eastAsia="zh-CN"/>
        </w:rPr>
        <w:t>，包组二</w:t>
      </w:r>
      <w:r>
        <w:rPr>
          <w:rFonts w:hint="eastAsia"/>
          <w:color w:val="auto"/>
          <w:sz w:val="24"/>
          <w:highlight w:val="none"/>
        </w:rPr>
        <w:t>从具有中标候选人资格的投标人中，排名最高的投标供应商为第一中标候选人</w:t>
      </w:r>
      <w:r>
        <w:rPr>
          <w:color w:val="auto"/>
          <w:sz w:val="24"/>
          <w:highlight w:val="none"/>
        </w:rPr>
        <w:t>。若每个包组少于三家有效投标人，则该包组招标失败。</w:t>
      </w:r>
    </w:p>
    <w:p w14:paraId="7569BE49">
      <w:pPr>
        <w:pStyle w:val="4"/>
        <w:jc w:val="both"/>
        <w:rPr>
          <w:color w:val="auto"/>
          <w:highlight w:val="none"/>
        </w:rPr>
      </w:pPr>
    </w:p>
    <w:p w14:paraId="4982B145">
      <w:pPr>
        <w:pStyle w:val="4"/>
        <w:rPr>
          <w:color w:val="auto"/>
          <w:highlight w:val="none"/>
        </w:rPr>
      </w:pPr>
      <w:r>
        <w:rPr>
          <w:color w:val="auto"/>
          <w:highlight w:val="none"/>
        </w:rPr>
        <w:t>采购包1（(建筑起重机械监督执法抽查检测服务（</w:t>
      </w:r>
      <w:r>
        <w:rPr>
          <w:rFonts w:hint="eastAsia"/>
          <w:color w:val="auto"/>
          <w:highlight w:val="none"/>
          <w:lang w:eastAsia="zh-CN"/>
        </w:rPr>
        <w:t>包组一</w:t>
      </w:r>
      <w:r>
        <w:rPr>
          <w:color w:val="auto"/>
          <w:highlight w:val="none"/>
        </w:rPr>
        <w:t>））</w:t>
      </w:r>
      <w:r>
        <w:rPr>
          <w:b/>
          <w:color w:val="auto"/>
          <w:highlight w:val="none"/>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A23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0C6907">
            <w:pPr>
              <w:pStyle w:val="4"/>
              <w:rPr>
                <w:color w:val="auto"/>
                <w:highlight w:val="none"/>
              </w:rPr>
            </w:pPr>
            <w:r>
              <w:rPr>
                <w:color w:val="auto"/>
                <w:highlight w:val="none"/>
              </w:rPr>
              <w:t>标的提供的时间</w:t>
            </w:r>
          </w:p>
        </w:tc>
        <w:tc>
          <w:tcPr>
            <w:tcW w:w="4153" w:type="dxa"/>
          </w:tcPr>
          <w:p w14:paraId="570C6327">
            <w:pPr>
              <w:pStyle w:val="4"/>
              <w:rPr>
                <w:color w:val="auto"/>
                <w:highlight w:val="none"/>
              </w:rPr>
            </w:pPr>
            <w:r>
              <w:rPr>
                <w:color w:val="auto"/>
                <w:highlight w:val="none"/>
              </w:rPr>
              <w:t>自与服务单位签订合同之日起一年。</w:t>
            </w:r>
          </w:p>
        </w:tc>
      </w:tr>
      <w:tr w14:paraId="410C5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E7B392">
            <w:pPr>
              <w:pStyle w:val="4"/>
              <w:rPr>
                <w:color w:val="auto"/>
                <w:highlight w:val="none"/>
              </w:rPr>
            </w:pPr>
            <w:r>
              <w:rPr>
                <w:color w:val="auto"/>
                <w:highlight w:val="none"/>
              </w:rPr>
              <w:t>标的提供的地点</w:t>
            </w:r>
          </w:p>
        </w:tc>
        <w:tc>
          <w:tcPr>
            <w:tcW w:w="4153" w:type="dxa"/>
          </w:tcPr>
          <w:p w14:paraId="3AFB7CF5">
            <w:pPr>
              <w:pStyle w:val="4"/>
              <w:rPr>
                <w:color w:val="auto"/>
                <w:highlight w:val="none"/>
              </w:rPr>
            </w:pPr>
            <w:r>
              <w:rPr>
                <w:color w:val="auto"/>
                <w:highlight w:val="none"/>
              </w:rPr>
              <w:t>黄埔区在建工程或其他有必要委托服务单位监督执法抽查检测的项目。</w:t>
            </w:r>
          </w:p>
        </w:tc>
      </w:tr>
      <w:tr w14:paraId="314F4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D8FCC6">
            <w:pPr>
              <w:pStyle w:val="4"/>
              <w:rPr>
                <w:color w:val="auto"/>
                <w:highlight w:val="none"/>
              </w:rPr>
            </w:pPr>
            <w:r>
              <w:rPr>
                <w:color w:val="auto"/>
                <w:highlight w:val="none"/>
              </w:rPr>
              <w:t>付款方式</w:t>
            </w:r>
          </w:p>
        </w:tc>
        <w:tc>
          <w:tcPr>
            <w:tcW w:w="4153" w:type="dxa"/>
          </w:tcPr>
          <w:p w14:paraId="6068FF7F">
            <w:pPr>
              <w:pStyle w:val="4"/>
              <w:rPr>
                <w:color w:val="auto"/>
                <w:highlight w:val="none"/>
              </w:rPr>
            </w:pPr>
            <w:r>
              <w:rPr>
                <w:color w:val="auto"/>
                <w:highlight w:val="none"/>
              </w:rPr>
              <w:t>第1期为(付款方式)：支付比例100%，1）中标人需交付等额合法发票及服务进度统计报表等资料申请付款，否则付款延误的责任由中标人自行承担。因采购人使用的是财政资金，采购人在请款规定的付款时间为向政府采购支付部门提出办理财政支付申请手续的时间（不含政府财政支付部门审核的时间），在规定时间内提出支付申请手续后即视为采购人已经按期支付。 2）双方约定的服务费（进度款）支付的方式和时间如下： 1.1辖区两个服务标段合计总费用为11</w:t>
            </w:r>
            <w:r>
              <w:rPr>
                <w:rFonts w:hint="eastAsia"/>
                <w:color w:val="auto"/>
                <w:highlight w:val="none"/>
                <w:lang w:val="en-US" w:eastAsia="zh-CN"/>
              </w:rPr>
              <w:t>0</w:t>
            </w:r>
            <w:r>
              <w:rPr>
                <w:color w:val="auto"/>
                <w:highlight w:val="none"/>
              </w:rPr>
              <w:t>万元，每个服务标段预算价为5</w:t>
            </w:r>
            <w:r>
              <w:rPr>
                <w:rFonts w:hint="eastAsia"/>
                <w:color w:val="auto"/>
                <w:highlight w:val="none"/>
                <w:lang w:val="en-US" w:eastAsia="zh-CN"/>
              </w:rPr>
              <w:t>5</w:t>
            </w:r>
            <w:r>
              <w:rPr>
                <w:color w:val="auto"/>
                <w:highlight w:val="none"/>
              </w:rPr>
              <w:t>万元，每标段合同暂估价为</w:t>
            </w:r>
            <w:r>
              <w:rPr>
                <w:rFonts w:hint="eastAsia"/>
                <w:color w:val="auto"/>
                <w:highlight w:val="none"/>
                <w:lang w:val="en-US" w:eastAsia="zh-CN"/>
              </w:rPr>
              <w:t>55</w:t>
            </w:r>
            <w:r>
              <w:rPr>
                <w:color w:val="auto"/>
                <w:highlight w:val="none"/>
              </w:rPr>
              <w:t>万元，最终按中标单价及实际监督执法抽查检测台数结算； 1.2 根据实际完成工作量，按月或季度支付服务费。 1.3 如在202</w:t>
            </w:r>
            <w:r>
              <w:rPr>
                <w:rFonts w:hint="eastAsia"/>
                <w:color w:val="auto"/>
                <w:highlight w:val="none"/>
                <w:lang w:val="en-US" w:eastAsia="zh-CN"/>
              </w:rPr>
              <w:t>6</w:t>
            </w:r>
            <w:r>
              <w:rPr>
                <w:color w:val="auto"/>
                <w:highlight w:val="none"/>
              </w:rPr>
              <w:t>年12月20日合同预算费用对比根据实际完成工作量支付的服务费仍有剩余的，则根据采购单位的抽检任务清单，将剩余合同款项于202</w:t>
            </w:r>
            <w:r>
              <w:rPr>
                <w:rFonts w:hint="eastAsia"/>
                <w:color w:val="auto"/>
                <w:highlight w:val="none"/>
                <w:lang w:val="en-US" w:eastAsia="zh-CN"/>
              </w:rPr>
              <w:t>6</w:t>
            </w:r>
            <w:r>
              <w:rPr>
                <w:color w:val="auto"/>
                <w:highlight w:val="none"/>
              </w:rPr>
              <w:t>年12月25 日前一次性预付，服务期内合同继续有效，直至中标人实际完成抽检任务清单的工作量计算的服务费达到合同预算总费用时止。若区财政局对本项目决算或审计部门对本项目审计调整合同价款的，则按决算或审计确定金额支付合同款项。已多支付的，承接单位应返还委托单位或由委托单位在其他应付承接单位款项中抵扣。 3）本项目实行单价包干，总价控制，按实际工作量结算的承包方式。乙方按甲方的要求和标准开展工作，并接受甲方的指导、监督和检查验收，不得将业务转包或分包。</w:t>
            </w:r>
          </w:p>
        </w:tc>
      </w:tr>
      <w:tr w14:paraId="53A4D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7A46B7F">
            <w:pPr>
              <w:pStyle w:val="4"/>
              <w:rPr>
                <w:color w:val="auto"/>
                <w:highlight w:val="none"/>
              </w:rPr>
            </w:pPr>
            <w:r>
              <w:rPr>
                <w:color w:val="auto"/>
                <w:highlight w:val="none"/>
              </w:rPr>
              <w:t>如项目发生合同融资，采购人应当将合同款项支付到合同约定收款账户。</w:t>
            </w:r>
          </w:p>
        </w:tc>
      </w:tr>
      <w:tr w14:paraId="7E4E3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B4AF01">
            <w:pPr>
              <w:pStyle w:val="4"/>
              <w:rPr>
                <w:color w:val="auto"/>
                <w:highlight w:val="none"/>
              </w:rPr>
            </w:pPr>
            <w:r>
              <w:rPr>
                <w:color w:val="auto"/>
                <w:highlight w:val="none"/>
              </w:rPr>
              <w:t>验收要求</w:t>
            </w:r>
          </w:p>
        </w:tc>
        <w:tc>
          <w:tcPr>
            <w:tcW w:w="4153" w:type="dxa"/>
          </w:tcPr>
          <w:p w14:paraId="214F57F6">
            <w:pPr>
              <w:pStyle w:val="4"/>
              <w:rPr>
                <w:color w:val="auto"/>
                <w:highlight w:val="none"/>
              </w:rPr>
            </w:pPr>
            <w:r>
              <w:rPr>
                <w:color w:val="auto"/>
                <w:highlight w:val="none"/>
              </w:rPr>
              <w:t>1期：按国家、省市及行业相关规定执行。</w:t>
            </w:r>
          </w:p>
        </w:tc>
      </w:tr>
      <w:tr w14:paraId="19984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525D6B">
            <w:pPr>
              <w:pStyle w:val="4"/>
              <w:rPr>
                <w:color w:val="auto"/>
                <w:highlight w:val="none"/>
              </w:rPr>
            </w:pPr>
            <w:r>
              <w:rPr>
                <w:color w:val="auto"/>
                <w:highlight w:val="none"/>
              </w:rPr>
              <w:t>履约保证金</w:t>
            </w:r>
          </w:p>
        </w:tc>
        <w:tc>
          <w:tcPr>
            <w:tcW w:w="4153" w:type="dxa"/>
          </w:tcPr>
          <w:p w14:paraId="5E0B8402">
            <w:pPr>
              <w:pStyle w:val="4"/>
              <w:rPr>
                <w:color w:val="auto"/>
                <w:highlight w:val="none"/>
              </w:rPr>
            </w:pPr>
            <w:r>
              <w:rPr>
                <w:color w:val="auto"/>
                <w:highlight w:val="none"/>
              </w:rPr>
              <w:t>不收取</w:t>
            </w:r>
          </w:p>
        </w:tc>
      </w:tr>
      <w:tr w14:paraId="07B00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0C0DD6">
            <w:pPr>
              <w:pStyle w:val="4"/>
              <w:rPr>
                <w:color w:val="auto"/>
                <w:highlight w:val="none"/>
              </w:rPr>
            </w:pPr>
            <w:r>
              <w:rPr>
                <w:color w:val="auto"/>
                <w:highlight w:val="none"/>
              </w:rPr>
              <w:t>其他</w:t>
            </w:r>
          </w:p>
        </w:tc>
        <w:tc>
          <w:tcPr>
            <w:tcW w:w="4153" w:type="dxa"/>
          </w:tcPr>
          <w:p w14:paraId="55B1FC60">
            <w:pPr>
              <w:pStyle w:val="4"/>
              <w:rPr>
                <w:color w:val="auto"/>
                <w:highlight w:val="none"/>
              </w:rPr>
            </w:pPr>
          </w:p>
        </w:tc>
      </w:tr>
    </w:tbl>
    <w:p w14:paraId="186EC580">
      <w:pPr>
        <w:pStyle w:val="4"/>
        <w:rPr>
          <w:color w:val="auto"/>
          <w:highlight w:val="none"/>
        </w:rPr>
      </w:pPr>
      <w:r>
        <w:rPr>
          <w:b/>
          <w:color w:val="auto"/>
          <w:highlight w:val="none"/>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0E65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35D18C">
            <w:pPr>
              <w:pStyle w:val="4"/>
              <w:jc w:val="center"/>
              <w:rPr>
                <w:color w:val="auto"/>
                <w:highlight w:val="none"/>
              </w:rPr>
            </w:pPr>
            <w:r>
              <w:rPr>
                <w:color w:val="auto"/>
                <w:highlight w:val="none"/>
              </w:rPr>
              <w:t>序号</w:t>
            </w:r>
          </w:p>
        </w:tc>
        <w:tc>
          <w:tcPr>
            <w:tcW w:w="831" w:type="dxa"/>
          </w:tcPr>
          <w:p w14:paraId="0B8EADBB">
            <w:pPr>
              <w:pStyle w:val="4"/>
              <w:jc w:val="center"/>
              <w:rPr>
                <w:color w:val="auto"/>
                <w:highlight w:val="none"/>
              </w:rPr>
            </w:pPr>
            <w:r>
              <w:rPr>
                <w:color w:val="auto"/>
                <w:highlight w:val="none"/>
              </w:rPr>
              <w:t>品目名称</w:t>
            </w:r>
          </w:p>
        </w:tc>
        <w:tc>
          <w:tcPr>
            <w:tcW w:w="831" w:type="dxa"/>
          </w:tcPr>
          <w:p w14:paraId="3EC4BF85">
            <w:pPr>
              <w:pStyle w:val="4"/>
              <w:jc w:val="center"/>
              <w:rPr>
                <w:color w:val="auto"/>
                <w:highlight w:val="none"/>
              </w:rPr>
            </w:pPr>
            <w:r>
              <w:rPr>
                <w:color w:val="auto"/>
                <w:highlight w:val="none"/>
              </w:rPr>
              <w:t>标的名称</w:t>
            </w:r>
          </w:p>
        </w:tc>
        <w:tc>
          <w:tcPr>
            <w:tcW w:w="831" w:type="dxa"/>
          </w:tcPr>
          <w:p w14:paraId="0B1487F0">
            <w:pPr>
              <w:pStyle w:val="4"/>
              <w:jc w:val="center"/>
              <w:rPr>
                <w:color w:val="auto"/>
                <w:highlight w:val="none"/>
              </w:rPr>
            </w:pPr>
            <w:r>
              <w:rPr>
                <w:color w:val="auto"/>
                <w:highlight w:val="none"/>
              </w:rPr>
              <w:t>单位</w:t>
            </w:r>
          </w:p>
        </w:tc>
        <w:tc>
          <w:tcPr>
            <w:tcW w:w="831" w:type="dxa"/>
          </w:tcPr>
          <w:p w14:paraId="635821A2">
            <w:pPr>
              <w:pStyle w:val="4"/>
              <w:jc w:val="center"/>
              <w:rPr>
                <w:color w:val="auto"/>
                <w:highlight w:val="none"/>
              </w:rPr>
            </w:pPr>
            <w:r>
              <w:rPr>
                <w:color w:val="auto"/>
                <w:highlight w:val="none"/>
              </w:rPr>
              <w:t>数量</w:t>
            </w:r>
          </w:p>
        </w:tc>
        <w:tc>
          <w:tcPr>
            <w:tcW w:w="831" w:type="dxa"/>
          </w:tcPr>
          <w:p w14:paraId="38C25089">
            <w:pPr>
              <w:pStyle w:val="4"/>
              <w:jc w:val="center"/>
              <w:rPr>
                <w:color w:val="auto"/>
                <w:highlight w:val="none"/>
              </w:rPr>
            </w:pPr>
            <w:r>
              <w:rPr>
                <w:color w:val="auto"/>
                <w:highlight w:val="none"/>
              </w:rPr>
              <w:t>分项预算单价（元）</w:t>
            </w:r>
          </w:p>
        </w:tc>
        <w:tc>
          <w:tcPr>
            <w:tcW w:w="831" w:type="dxa"/>
          </w:tcPr>
          <w:p w14:paraId="708F12DA">
            <w:pPr>
              <w:pStyle w:val="4"/>
              <w:jc w:val="center"/>
              <w:rPr>
                <w:color w:val="auto"/>
                <w:highlight w:val="none"/>
              </w:rPr>
            </w:pPr>
            <w:r>
              <w:rPr>
                <w:color w:val="auto"/>
                <w:highlight w:val="none"/>
              </w:rPr>
              <w:t>分项预算总价（元）</w:t>
            </w:r>
          </w:p>
        </w:tc>
        <w:tc>
          <w:tcPr>
            <w:tcW w:w="831" w:type="dxa"/>
          </w:tcPr>
          <w:p w14:paraId="1AF6A9C1">
            <w:pPr>
              <w:pStyle w:val="4"/>
              <w:jc w:val="center"/>
              <w:rPr>
                <w:color w:val="auto"/>
                <w:highlight w:val="none"/>
              </w:rPr>
            </w:pPr>
            <w:r>
              <w:rPr>
                <w:color w:val="auto"/>
                <w:highlight w:val="none"/>
              </w:rPr>
              <w:t xml:space="preserve"> 权重%</w:t>
            </w:r>
          </w:p>
        </w:tc>
        <w:tc>
          <w:tcPr>
            <w:tcW w:w="831" w:type="dxa"/>
          </w:tcPr>
          <w:p w14:paraId="3F105296">
            <w:pPr>
              <w:pStyle w:val="4"/>
              <w:rPr>
                <w:color w:val="auto"/>
                <w:highlight w:val="none"/>
              </w:rPr>
            </w:pPr>
            <w:r>
              <w:rPr>
                <w:color w:val="auto"/>
                <w:highlight w:val="none"/>
              </w:rPr>
              <w:t>所属行业</w:t>
            </w:r>
          </w:p>
        </w:tc>
        <w:tc>
          <w:tcPr>
            <w:tcW w:w="831" w:type="dxa"/>
          </w:tcPr>
          <w:p w14:paraId="4565CB85">
            <w:pPr>
              <w:pStyle w:val="4"/>
              <w:jc w:val="center"/>
              <w:rPr>
                <w:color w:val="auto"/>
                <w:highlight w:val="none"/>
              </w:rPr>
            </w:pPr>
            <w:r>
              <w:rPr>
                <w:color w:val="auto"/>
                <w:highlight w:val="none"/>
              </w:rPr>
              <w:t>技术要求</w:t>
            </w:r>
          </w:p>
        </w:tc>
      </w:tr>
      <w:tr w14:paraId="53FCC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1A2E16">
            <w:pPr>
              <w:pStyle w:val="4"/>
              <w:jc w:val="center"/>
              <w:rPr>
                <w:color w:val="auto"/>
                <w:highlight w:val="none"/>
              </w:rPr>
            </w:pPr>
            <w:r>
              <w:rPr>
                <w:color w:val="auto"/>
                <w:highlight w:val="none"/>
              </w:rPr>
              <w:t>1</w:t>
            </w:r>
          </w:p>
        </w:tc>
        <w:tc>
          <w:tcPr>
            <w:tcW w:w="831" w:type="dxa"/>
          </w:tcPr>
          <w:p w14:paraId="392EEB4C">
            <w:pPr>
              <w:pStyle w:val="4"/>
              <w:jc w:val="left"/>
              <w:rPr>
                <w:color w:val="auto"/>
                <w:highlight w:val="none"/>
              </w:rPr>
            </w:pPr>
            <w:r>
              <w:rPr>
                <w:color w:val="auto"/>
                <w:highlight w:val="none"/>
              </w:rPr>
              <w:t>其他专业技术服务</w:t>
            </w:r>
          </w:p>
        </w:tc>
        <w:tc>
          <w:tcPr>
            <w:tcW w:w="831" w:type="dxa"/>
          </w:tcPr>
          <w:p w14:paraId="057390AE">
            <w:pPr>
              <w:pStyle w:val="4"/>
              <w:jc w:val="left"/>
              <w:rPr>
                <w:color w:val="auto"/>
                <w:highlight w:val="none"/>
              </w:rPr>
            </w:pPr>
            <w:r>
              <w:rPr>
                <w:color w:val="auto"/>
                <w:highlight w:val="none"/>
              </w:rPr>
              <w:t>(建筑起重机械监督执法抽查检测服务（</w:t>
            </w:r>
            <w:r>
              <w:rPr>
                <w:rFonts w:hint="eastAsia"/>
                <w:color w:val="auto"/>
                <w:highlight w:val="none"/>
                <w:lang w:eastAsia="zh-CN"/>
              </w:rPr>
              <w:t>包组一</w:t>
            </w:r>
            <w:r>
              <w:rPr>
                <w:color w:val="auto"/>
                <w:highlight w:val="none"/>
              </w:rPr>
              <w:t>）</w:t>
            </w:r>
          </w:p>
        </w:tc>
        <w:tc>
          <w:tcPr>
            <w:tcW w:w="831" w:type="dxa"/>
          </w:tcPr>
          <w:p w14:paraId="6267CBA0">
            <w:pPr>
              <w:pStyle w:val="4"/>
              <w:jc w:val="left"/>
              <w:rPr>
                <w:color w:val="auto"/>
                <w:highlight w:val="none"/>
              </w:rPr>
            </w:pPr>
            <w:r>
              <w:rPr>
                <w:color w:val="auto"/>
                <w:highlight w:val="none"/>
              </w:rPr>
              <w:t>年</w:t>
            </w:r>
          </w:p>
        </w:tc>
        <w:tc>
          <w:tcPr>
            <w:tcW w:w="831" w:type="dxa"/>
          </w:tcPr>
          <w:p w14:paraId="5EC17ADD">
            <w:pPr>
              <w:pStyle w:val="4"/>
              <w:jc w:val="right"/>
              <w:rPr>
                <w:color w:val="auto"/>
                <w:highlight w:val="none"/>
              </w:rPr>
            </w:pPr>
            <w:r>
              <w:rPr>
                <w:color w:val="auto"/>
                <w:highlight w:val="none"/>
              </w:rPr>
              <w:t>1.00</w:t>
            </w:r>
          </w:p>
        </w:tc>
        <w:tc>
          <w:tcPr>
            <w:tcW w:w="831" w:type="dxa"/>
          </w:tcPr>
          <w:p w14:paraId="476A5E79">
            <w:pPr>
              <w:pStyle w:val="4"/>
              <w:jc w:val="right"/>
              <w:rPr>
                <w:rFonts w:hint="default" w:eastAsiaTheme="minorEastAsia"/>
                <w:color w:val="auto"/>
                <w:highlight w:val="none"/>
                <w:lang w:val="en-US" w:eastAsia="zh-CN"/>
              </w:rPr>
            </w:pPr>
            <w:r>
              <w:rPr>
                <w:rFonts w:hint="eastAsia"/>
                <w:color w:val="auto"/>
                <w:highlight w:val="none"/>
                <w:lang w:val="en-US" w:eastAsia="zh-CN"/>
              </w:rPr>
              <w:t>550000</w:t>
            </w:r>
          </w:p>
        </w:tc>
        <w:tc>
          <w:tcPr>
            <w:tcW w:w="831" w:type="dxa"/>
          </w:tcPr>
          <w:p w14:paraId="43B96E0C">
            <w:pPr>
              <w:pStyle w:val="4"/>
              <w:jc w:val="right"/>
              <w:rPr>
                <w:rFonts w:hint="default" w:eastAsiaTheme="minorEastAsia"/>
                <w:color w:val="auto"/>
                <w:highlight w:val="none"/>
                <w:lang w:val="en-US" w:eastAsia="zh-CN"/>
              </w:rPr>
            </w:pPr>
            <w:r>
              <w:rPr>
                <w:rFonts w:hint="eastAsia"/>
                <w:color w:val="auto"/>
                <w:highlight w:val="none"/>
                <w:lang w:val="en-US" w:eastAsia="zh-CN"/>
              </w:rPr>
              <w:t>550000</w:t>
            </w:r>
          </w:p>
        </w:tc>
        <w:tc>
          <w:tcPr>
            <w:tcW w:w="831" w:type="dxa"/>
          </w:tcPr>
          <w:p w14:paraId="1569FB49">
            <w:pPr>
              <w:pStyle w:val="4"/>
              <w:rPr>
                <w:color w:val="auto"/>
                <w:highlight w:val="none"/>
              </w:rPr>
            </w:pPr>
            <w:r>
              <w:rPr>
                <w:color w:val="auto"/>
                <w:highlight w:val="none"/>
              </w:rPr>
              <w:t>100.0</w:t>
            </w:r>
          </w:p>
        </w:tc>
        <w:tc>
          <w:tcPr>
            <w:tcW w:w="831" w:type="dxa"/>
          </w:tcPr>
          <w:p w14:paraId="19C4E703">
            <w:pPr>
              <w:pStyle w:val="4"/>
              <w:rPr>
                <w:color w:val="auto"/>
                <w:highlight w:val="none"/>
              </w:rPr>
            </w:pPr>
            <w:r>
              <w:rPr>
                <w:color w:val="auto"/>
                <w:highlight w:val="none"/>
              </w:rPr>
              <w:t>其他未列明行业</w:t>
            </w:r>
          </w:p>
        </w:tc>
        <w:tc>
          <w:tcPr>
            <w:tcW w:w="831" w:type="dxa"/>
          </w:tcPr>
          <w:p w14:paraId="31C8E434">
            <w:pPr>
              <w:pStyle w:val="4"/>
              <w:rPr>
                <w:color w:val="auto"/>
                <w:highlight w:val="none"/>
              </w:rPr>
            </w:pPr>
            <w:r>
              <w:rPr>
                <w:color w:val="auto"/>
                <w:highlight w:val="none"/>
              </w:rPr>
              <w:t>详见附表一</w:t>
            </w:r>
          </w:p>
        </w:tc>
      </w:tr>
    </w:tbl>
    <w:p w14:paraId="02F8A8D9">
      <w:pPr>
        <w:pStyle w:val="4"/>
        <w:rPr>
          <w:color w:val="auto"/>
          <w:highlight w:val="none"/>
        </w:rPr>
      </w:pPr>
      <w:r>
        <w:rPr>
          <w:color w:val="auto"/>
          <w:highlight w:val="none"/>
        </w:rPr>
        <w:t>备注：最终综合总报价=（各产品报价×各项产品权重）的相加值</w:t>
      </w:r>
    </w:p>
    <w:p w14:paraId="0C3CCF4F">
      <w:pPr>
        <w:pStyle w:val="4"/>
        <w:rPr>
          <w:color w:val="auto"/>
          <w:highlight w:val="none"/>
        </w:rPr>
      </w:pPr>
      <w:r>
        <w:rPr>
          <w:b/>
          <w:color w:val="auto"/>
          <w:highlight w:val="none"/>
        </w:rPr>
        <w:t>附表一：(建筑起重机械监督执法抽查检测服务（</w:t>
      </w:r>
      <w:r>
        <w:rPr>
          <w:rFonts w:hint="eastAsia"/>
          <w:b/>
          <w:color w:val="auto"/>
          <w:highlight w:val="none"/>
          <w:lang w:eastAsia="zh-CN"/>
        </w:rPr>
        <w:t>包组一</w:t>
      </w:r>
      <w:r>
        <w:rPr>
          <w:b/>
          <w:color w:val="auto"/>
          <w:highlight w:val="none"/>
        </w:rPr>
        <w: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14F07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7801A8">
            <w:pPr>
              <w:pStyle w:val="4"/>
              <w:rPr>
                <w:color w:val="auto"/>
                <w:highlight w:val="none"/>
              </w:rPr>
            </w:pPr>
            <w:r>
              <w:rPr>
                <w:color w:val="auto"/>
                <w:highlight w:val="none"/>
              </w:rPr>
              <w:t>参数性质</w:t>
            </w:r>
          </w:p>
        </w:tc>
        <w:tc>
          <w:tcPr>
            <w:tcW w:w="415" w:type="dxa"/>
          </w:tcPr>
          <w:p w14:paraId="2BDF3C17">
            <w:pPr>
              <w:pStyle w:val="4"/>
              <w:rPr>
                <w:color w:val="auto"/>
                <w:highlight w:val="none"/>
              </w:rPr>
            </w:pPr>
            <w:r>
              <w:rPr>
                <w:color w:val="auto"/>
                <w:highlight w:val="none"/>
              </w:rPr>
              <w:t>序号</w:t>
            </w:r>
          </w:p>
        </w:tc>
        <w:tc>
          <w:tcPr>
            <w:tcW w:w="5814" w:type="dxa"/>
          </w:tcPr>
          <w:p w14:paraId="0B823729">
            <w:pPr>
              <w:pStyle w:val="4"/>
              <w:rPr>
                <w:color w:val="auto"/>
                <w:highlight w:val="none"/>
              </w:rPr>
            </w:pPr>
            <w:r>
              <w:rPr>
                <w:color w:val="auto"/>
                <w:highlight w:val="none"/>
              </w:rPr>
              <w:t>具体技术(参数)要求</w:t>
            </w:r>
          </w:p>
        </w:tc>
      </w:tr>
      <w:tr w14:paraId="2A6C0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038ADD">
            <w:pPr>
              <w:rPr>
                <w:color w:val="auto"/>
                <w:highlight w:val="none"/>
              </w:rPr>
            </w:pPr>
          </w:p>
        </w:tc>
        <w:tc>
          <w:tcPr>
            <w:tcW w:w="415" w:type="dxa"/>
          </w:tcPr>
          <w:p w14:paraId="1CEA46B1">
            <w:pPr>
              <w:pStyle w:val="4"/>
              <w:rPr>
                <w:color w:val="auto"/>
                <w:highlight w:val="none"/>
              </w:rPr>
            </w:pPr>
            <w:r>
              <w:rPr>
                <w:color w:val="auto"/>
                <w:highlight w:val="none"/>
              </w:rPr>
              <w:t>1</w:t>
            </w:r>
          </w:p>
        </w:tc>
        <w:tc>
          <w:tcPr>
            <w:tcW w:w="5814" w:type="dxa"/>
          </w:tcPr>
          <w:p w14:paraId="739E7CE6">
            <w:pPr>
              <w:pStyle w:val="4"/>
              <w:numPr>
                <w:ilvl w:val="0"/>
                <w:numId w:val="1"/>
              </w:numPr>
              <w:jc w:val="both"/>
              <w:rPr>
                <w:color w:val="auto"/>
                <w:highlight w:val="none"/>
              </w:rPr>
            </w:pPr>
            <w:r>
              <w:rPr>
                <w:b/>
                <w:color w:val="auto"/>
                <w:sz w:val="24"/>
                <w:highlight w:val="none"/>
              </w:rPr>
              <w:t>（1）工作内容</w:t>
            </w:r>
          </w:p>
          <w:p w14:paraId="13017589">
            <w:pPr>
              <w:pStyle w:val="4"/>
              <w:ind w:firstLine="241"/>
              <w:jc w:val="both"/>
              <w:rPr>
                <w:color w:val="auto"/>
                <w:highlight w:val="none"/>
              </w:rPr>
            </w:pPr>
            <w:r>
              <w:rPr>
                <w:b/>
                <w:color w:val="auto"/>
                <w:sz w:val="21"/>
                <w:highlight w:val="none"/>
              </w:rPr>
              <w:t xml:space="preserve">   </w:t>
            </w:r>
            <w:r>
              <w:rPr>
                <w:color w:val="auto"/>
                <w:sz w:val="24"/>
                <w:highlight w:val="none"/>
              </w:rPr>
              <w:t>1）中标人全年按照每个季度或逐月提供监督执法抽查检测服务，如遇上级部门临时性检查需要或应急处置方面的工作需要，监督执法抽查检测工作可做相应调整。每个服务标段中标人在合同周期内需完成暂估合同5</w:t>
            </w:r>
            <w:r>
              <w:rPr>
                <w:rFonts w:hint="eastAsia"/>
                <w:color w:val="auto"/>
                <w:sz w:val="24"/>
                <w:highlight w:val="none"/>
                <w:lang w:val="en-US" w:eastAsia="zh-CN"/>
              </w:rPr>
              <w:t>5</w:t>
            </w:r>
            <w:r>
              <w:rPr>
                <w:color w:val="auto"/>
                <w:sz w:val="24"/>
                <w:highlight w:val="none"/>
              </w:rPr>
              <w:t>万元（含本值）以内的总工作量（辖区两个服务标段合计总费用为11</w:t>
            </w:r>
            <w:r>
              <w:rPr>
                <w:rFonts w:hint="eastAsia"/>
                <w:color w:val="auto"/>
                <w:sz w:val="24"/>
                <w:highlight w:val="none"/>
                <w:lang w:val="en-US" w:eastAsia="zh-CN"/>
              </w:rPr>
              <w:t>0</w:t>
            </w:r>
            <w:r>
              <w:rPr>
                <w:color w:val="auto"/>
                <w:sz w:val="24"/>
                <w:highlight w:val="none"/>
              </w:rPr>
              <w:t>万元，每个服务标段预算价为5</w:t>
            </w:r>
            <w:r>
              <w:rPr>
                <w:rFonts w:hint="eastAsia"/>
                <w:color w:val="auto"/>
                <w:sz w:val="24"/>
                <w:highlight w:val="none"/>
                <w:lang w:val="en-US" w:eastAsia="zh-CN"/>
              </w:rPr>
              <w:t>5</w:t>
            </w:r>
            <w:r>
              <w:rPr>
                <w:color w:val="auto"/>
                <w:sz w:val="24"/>
                <w:highlight w:val="none"/>
              </w:rPr>
              <w:t>万元），全年监督执法抽查检测的建筑起重机械根据采购人工作安排执行，每个服务标段预估总数量不少于</w:t>
            </w:r>
            <w:r>
              <w:rPr>
                <w:rFonts w:hint="eastAsia"/>
                <w:color w:val="auto"/>
                <w:sz w:val="24"/>
                <w:highlight w:val="none"/>
                <w:lang w:eastAsia="zh-CN"/>
              </w:rPr>
              <w:t>245</w:t>
            </w:r>
            <w:r>
              <w:rPr>
                <w:color w:val="auto"/>
                <w:sz w:val="24"/>
                <w:highlight w:val="none"/>
              </w:rPr>
              <w:t>台（每个中标单位检测台数不少于</w:t>
            </w:r>
            <w:r>
              <w:rPr>
                <w:rFonts w:hint="eastAsia"/>
                <w:color w:val="auto"/>
                <w:sz w:val="24"/>
                <w:highlight w:val="none"/>
                <w:lang w:eastAsia="zh-CN"/>
              </w:rPr>
              <w:t>245</w:t>
            </w:r>
            <w:r>
              <w:rPr>
                <w:color w:val="auto"/>
                <w:sz w:val="24"/>
                <w:highlight w:val="none"/>
              </w:rPr>
              <w:t>台，两个中标单位合计不少于</w:t>
            </w:r>
            <w:r>
              <w:rPr>
                <w:rFonts w:hint="eastAsia"/>
                <w:color w:val="auto"/>
                <w:sz w:val="24"/>
                <w:highlight w:val="none"/>
                <w:lang w:eastAsia="zh-CN"/>
              </w:rPr>
              <w:t>490</w:t>
            </w:r>
            <w:r>
              <w:rPr>
                <w:color w:val="auto"/>
                <w:sz w:val="24"/>
                <w:highlight w:val="none"/>
              </w:rPr>
              <w:t>台），主要涉及检测设备：塔式起重机、施工升降机、门式起重机、物料提升机、高处作业吊篮等。监督执法抽查检测的具体时间由采购人根据实际情况和工作需要确定。</w:t>
            </w:r>
          </w:p>
          <w:p w14:paraId="3175D81C">
            <w:pPr>
              <w:pStyle w:val="4"/>
              <w:jc w:val="both"/>
              <w:rPr>
                <w:color w:val="auto"/>
                <w:highlight w:val="none"/>
              </w:rPr>
            </w:pPr>
            <w:r>
              <w:rPr>
                <w:color w:val="auto"/>
                <w:sz w:val="24"/>
                <w:highlight w:val="none"/>
              </w:rPr>
              <w:t xml:space="preserve">    2）中标人依据有关法律法规、标准规范，根据采购人的监督执法抽查检测工作计划及安排，对采购人辖区内监管的房屋建筑工程和市政工程工地安装使用的建筑起重机械进行监督执法抽查检测，并根据每台建筑起重机械的检测结果，逐台出具符合国家、省、市及行业相关法律法规及标准规范的检测报告。</w:t>
            </w:r>
          </w:p>
          <w:p w14:paraId="6E37AD0E">
            <w:pPr>
              <w:pStyle w:val="4"/>
              <w:jc w:val="both"/>
              <w:rPr>
                <w:color w:val="auto"/>
                <w:highlight w:val="none"/>
              </w:rPr>
            </w:pPr>
            <w:r>
              <w:rPr>
                <w:color w:val="auto"/>
                <w:sz w:val="24"/>
                <w:highlight w:val="none"/>
              </w:rPr>
              <w:t xml:space="preserve">    3）中标人需每半年提交监督执法抽检分析总结工作报告（半年总结），在完成全部建筑起重机械监督执法抽查检测工作后，应在20个工作日内提交监督执法抽检分析总结工作报告（年度总结）。</w:t>
            </w:r>
          </w:p>
        </w:tc>
      </w:tr>
      <w:tr w14:paraId="5C9C9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D23B0C">
            <w:pPr>
              <w:rPr>
                <w:color w:val="auto"/>
                <w:highlight w:val="none"/>
              </w:rPr>
            </w:pPr>
          </w:p>
        </w:tc>
        <w:tc>
          <w:tcPr>
            <w:tcW w:w="415" w:type="dxa"/>
          </w:tcPr>
          <w:p w14:paraId="66A6CDF0">
            <w:pPr>
              <w:pStyle w:val="4"/>
              <w:rPr>
                <w:color w:val="auto"/>
                <w:highlight w:val="none"/>
              </w:rPr>
            </w:pPr>
            <w:r>
              <w:rPr>
                <w:color w:val="auto"/>
                <w:highlight w:val="none"/>
              </w:rPr>
              <w:t>2</w:t>
            </w:r>
          </w:p>
        </w:tc>
        <w:tc>
          <w:tcPr>
            <w:tcW w:w="5814" w:type="dxa"/>
          </w:tcPr>
          <w:p w14:paraId="16AD4823">
            <w:pPr>
              <w:pStyle w:val="4"/>
              <w:numPr>
                <w:ilvl w:val="0"/>
                <w:numId w:val="1"/>
              </w:numPr>
              <w:jc w:val="both"/>
              <w:rPr>
                <w:color w:val="auto"/>
                <w:highlight w:val="none"/>
              </w:rPr>
            </w:pPr>
            <w:r>
              <w:rPr>
                <w:b/>
                <w:color w:val="auto"/>
                <w:sz w:val="24"/>
                <w:highlight w:val="none"/>
              </w:rPr>
              <w:t>（2）项目基本要求</w:t>
            </w:r>
          </w:p>
          <w:p w14:paraId="2BFE576F">
            <w:pPr>
              <w:pStyle w:val="4"/>
              <w:ind w:firstLine="480"/>
              <w:jc w:val="both"/>
              <w:rPr>
                <w:color w:val="auto"/>
                <w:highlight w:val="none"/>
              </w:rPr>
            </w:pPr>
            <w:r>
              <w:rPr>
                <w:color w:val="auto"/>
                <w:sz w:val="24"/>
                <w:highlight w:val="none"/>
              </w:rPr>
              <w:t>1）</w:t>
            </w:r>
            <w:r>
              <w:rPr>
                <w:rFonts w:hint="eastAsia"/>
                <w:color w:val="auto"/>
                <w:sz w:val="24"/>
                <w:highlight w:val="none"/>
              </w:rPr>
              <w:t>投标人应具有合法有效的特种设备检验检测机构核准证</w:t>
            </w:r>
            <w:r>
              <w:rPr>
                <w:color w:val="auto"/>
                <w:sz w:val="24"/>
                <w:highlight w:val="none"/>
              </w:rPr>
              <w:t>。</w:t>
            </w:r>
          </w:p>
          <w:p w14:paraId="1A2CDBAC">
            <w:pPr>
              <w:pStyle w:val="4"/>
              <w:ind w:firstLine="480"/>
              <w:jc w:val="both"/>
              <w:rPr>
                <w:color w:val="auto"/>
                <w:highlight w:val="none"/>
              </w:rPr>
            </w:pPr>
            <w:r>
              <w:rPr>
                <w:color w:val="auto"/>
                <w:sz w:val="24"/>
                <w:highlight w:val="none"/>
              </w:rPr>
              <w:t>2） 投标人应对起重机械类有关的法律法规、标准规范熟悉掌握，透彻理解，并在项目实施中严格遵守执行。</w:t>
            </w:r>
          </w:p>
          <w:p w14:paraId="56E09E37">
            <w:pPr>
              <w:pStyle w:val="4"/>
              <w:ind w:firstLine="480"/>
              <w:jc w:val="both"/>
              <w:rPr>
                <w:color w:val="auto"/>
                <w:highlight w:val="none"/>
              </w:rPr>
            </w:pPr>
            <w:r>
              <w:rPr>
                <w:color w:val="auto"/>
                <w:sz w:val="24"/>
                <w:highlight w:val="none"/>
              </w:rPr>
              <w:t>3）中标人应指定项目负责人并配备专职检测人员，总人数不少于 5 人，其中项目负责人1人，检测人员不少于2 组，每组应至少有 2 人，所有人员应提供有效的检验资格证书和注册证书，并有相关工作经验，具体要求为：</w:t>
            </w:r>
          </w:p>
          <w:p w14:paraId="6D122C2A">
            <w:pPr>
              <w:pStyle w:val="4"/>
              <w:ind w:firstLine="480"/>
              <w:jc w:val="both"/>
              <w:rPr>
                <w:color w:val="auto"/>
                <w:highlight w:val="none"/>
              </w:rPr>
            </w:pPr>
            <w:r>
              <w:rPr>
                <w:color w:val="auto"/>
                <w:sz w:val="24"/>
                <w:highlight w:val="none"/>
              </w:rPr>
              <w:t>1.1项目负责人要求：具备相关专业的中级工程师或以上职称，获得起重机械检验师资格证</w:t>
            </w:r>
            <w:r>
              <w:rPr>
                <w:rFonts w:hint="eastAsia"/>
                <w:color w:val="auto"/>
                <w:sz w:val="24"/>
                <w:highlight w:val="none"/>
                <w:lang w:val="en-US" w:eastAsia="zh-CN"/>
              </w:rPr>
              <w:t>，</w:t>
            </w:r>
            <w:r>
              <w:rPr>
                <w:color w:val="auto"/>
                <w:sz w:val="24"/>
                <w:highlight w:val="none"/>
              </w:rPr>
              <w:t>作为项目负责人负责过类似的检测项目；</w:t>
            </w:r>
          </w:p>
          <w:p w14:paraId="65B2A8B8">
            <w:pPr>
              <w:pStyle w:val="4"/>
              <w:ind w:firstLine="480"/>
              <w:jc w:val="both"/>
              <w:rPr>
                <w:color w:val="auto"/>
                <w:highlight w:val="none"/>
              </w:rPr>
            </w:pPr>
            <w:r>
              <w:rPr>
                <w:color w:val="auto"/>
                <w:sz w:val="24"/>
                <w:highlight w:val="none"/>
              </w:rPr>
              <w:t>1.2检测人员要求：具备相关专业的助理工程师或以上职称，</w:t>
            </w:r>
            <w:r>
              <w:rPr>
                <w:rFonts w:hint="eastAsia"/>
                <w:color w:val="auto"/>
                <w:sz w:val="24"/>
                <w:highlight w:val="none"/>
              </w:rPr>
              <w:t>获得起重机械检验员证达2年或以上</w:t>
            </w:r>
            <w:r>
              <w:rPr>
                <w:color w:val="auto"/>
                <w:sz w:val="24"/>
                <w:highlight w:val="none"/>
              </w:rPr>
              <w:t>，能够胜任本项目规定的检验检测服务工作；</w:t>
            </w:r>
          </w:p>
          <w:p w14:paraId="7FB6ED62">
            <w:pPr>
              <w:pStyle w:val="4"/>
              <w:ind w:firstLine="480"/>
              <w:jc w:val="both"/>
              <w:rPr>
                <w:color w:val="auto"/>
                <w:highlight w:val="none"/>
              </w:rPr>
            </w:pPr>
            <w:r>
              <w:rPr>
                <w:color w:val="auto"/>
                <w:sz w:val="24"/>
                <w:highlight w:val="none"/>
              </w:rPr>
              <w:t>1.3未经采购人同意不得更换项目负责人及检测人员，合同附件须有检测人员资格证书和注册证书扫描件。</w:t>
            </w:r>
          </w:p>
          <w:p w14:paraId="209162C6">
            <w:pPr>
              <w:pStyle w:val="4"/>
              <w:ind w:firstLine="480"/>
              <w:jc w:val="both"/>
              <w:rPr>
                <w:color w:val="auto"/>
                <w:highlight w:val="none"/>
              </w:rPr>
            </w:pPr>
            <w:r>
              <w:rPr>
                <w:color w:val="auto"/>
                <w:sz w:val="24"/>
                <w:highlight w:val="none"/>
              </w:rPr>
              <w:t>4） 中标人在满足上述第三点要求的基础上，如增加投入副高级或以上技术职称的起重机械检验师的，则对于拟多投入副高级或以上技术职称的起重机械检验师具体要求：</w:t>
            </w:r>
          </w:p>
          <w:p w14:paraId="4A6F4B60">
            <w:pPr>
              <w:pStyle w:val="4"/>
              <w:ind w:firstLine="480"/>
              <w:jc w:val="both"/>
              <w:rPr>
                <w:color w:val="auto"/>
                <w:highlight w:val="none"/>
              </w:rPr>
            </w:pPr>
            <w:r>
              <w:rPr>
                <w:color w:val="auto"/>
                <w:sz w:val="24"/>
                <w:highlight w:val="none"/>
              </w:rPr>
              <w:t>1.1拟多投入一名副高级或以上技术职称的起重机械检验师，须参与本项目全年抽检工作量的20%或以上；</w:t>
            </w:r>
          </w:p>
          <w:p w14:paraId="3AC4A736">
            <w:pPr>
              <w:pStyle w:val="4"/>
              <w:ind w:firstLine="480"/>
              <w:jc w:val="both"/>
              <w:rPr>
                <w:color w:val="auto"/>
                <w:highlight w:val="none"/>
              </w:rPr>
            </w:pPr>
            <w:r>
              <w:rPr>
                <w:color w:val="auto"/>
                <w:sz w:val="24"/>
                <w:highlight w:val="none"/>
              </w:rPr>
              <w:t>1.2拟多投入两名副高级或以上技术职称的起重机械检验师，须参与本项目全年抽检工作量的40%或以上；</w:t>
            </w:r>
          </w:p>
          <w:p w14:paraId="534E48A3">
            <w:pPr>
              <w:pStyle w:val="4"/>
              <w:ind w:firstLine="480"/>
              <w:jc w:val="both"/>
              <w:rPr>
                <w:color w:val="auto"/>
                <w:highlight w:val="none"/>
              </w:rPr>
            </w:pPr>
            <w:r>
              <w:rPr>
                <w:color w:val="auto"/>
                <w:sz w:val="24"/>
                <w:highlight w:val="none"/>
              </w:rPr>
              <w:t>1.3拟多投入大于等于三名副高级或以上技术职称的起重机械检验师，须参与本项目全年抽检工作量的60%或以上。</w:t>
            </w:r>
          </w:p>
          <w:p w14:paraId="6D698754">
            <w:pPr>
              <w:pStyle w:val="4"/>
              <w:ind w:firstLine="480"/>
              <w:jc w:val="both"/>
              <w:rPr>
                <w:color w:val="auto"/>
                <w:highlight w:val="none"/>
              </w:rPr>
            </w:pPr>
            <w:r>
              <w:rPr>
                <w:color w:val="auto"/>
                <w:sz w:val="24"/>
                <w:highlight w:val="none"/>
              </w:rPr>
              <w:t>5) 采购人可对中标人的项目负责人或项目实施人员提出合理化建议，中标人应积极配合。</w:t>
            </w:r>
          </w:p>
          <w:p w14:paraId="355D12EA">
            <w:pPr>
              <w:pStyle w:val="4"/>
              <w:ind w:firstLine="480"/>
              <w:jc w:val="both"/>
              <w:rPr>
                <w:color w:val="auto"/>
                <w:highlight w:val="none"/>
              </w:rPr>
            </w:pPr>
            <w:r>
              <w:rPr>
                <w:color w:val="auto"/>
                <w:sz w:val="24"/>
                <w:highlight w:val="none"/>
              </w:rPr>
              <w:t>6) 中标人根据采购人监督检查工作需要，合理、优化安排检测时间，保证在接到采购人指令48小时内到场进行检测工作。</w:t>
            </w:r>
          </w:p>
          <w:p w14:paraId="2DFC73CB">
            <w:pPr>
              <w:pStyle w:val="4"/>
              <w:ind w:firstLine="480"/>
              <w:jc w:val="both"/>
              <w:rPr>
                <w:color w:val="auto"/>
                <w:highlight w:val="none"/>
              </w:rPr>
            </w:pPr>
            <w:r>
              <w:rPr>
                <w:color w:val="auto"/>
                <w:sz w:val="24"/>
                <w:highlight w:val="none"/>
              </w:rPr>
              <w:t>7） 中标人提交的检验检测报告应符合国家、省、市及行业相关法律法规及标准规范的规定。</w:t>
            </w:r>
          </w:p>
          <w:p w14:paraId="328E3BBF">
            <w:pPr>
              <w:pStyle w:val="4"/>
              <w:ind w:firstLine="480"/>
              <w:jc w:val="both"/>
              <w:rPr>
                <w:color w:val="auto"/>
                <w:highlight w:val="none"/>
              </w:rPr>
            </w:pPr>
            <w:r>
              <w:rPr>
                <w:color w:val="auto"/>
                <w:sz w:val="24"/>
                <w:highlight w:val="none"/>
              </w:rPr>
              <w:t>8） 采购人有权根据服务质量及成果，要求更换相关检测人员，中标人应予以配合。</w:t>
            </w:r>
          </w:p>
          <w:p w14:paraId="4C089D62">
            <w:pPr>
              <w:pStyle w:val="4"/>
              <w:ind w:firstLine="480"/>
              <w:jc w:val="both"/>
              <w:rPr>
                <w:color w:val="auto"/>
                <w:highlight w:val="none"/>
              </w:rPr>
            </w:pPr>
            <w:r>
              <w:rPr>
                <w:color w:val="auto"/>
                <w:sz w:val="24"/>
                <w:highlight w:val="none"/>
              </w:rPr>
              <w:t>9）中标人应自行配备监督执法抽查检测服务所需的各种检测仪器设备、个人装备及劳保用品、检测用车辆等。</w:t>
            </w:r>
          </w:p>
          <w:p w14:paraId="1496B35E">
            <w:pPr>
              <w:pStyle w:val="4"/>
              <w:ind w:firstLine="480"/>
              <w:jc w:val="both"/>
              <w:rPr>
                <w:color w:val="auto"/>
                <w:highlight w:val="none"/>
              </w:rPr>
            </w:pPr>
            <w:r>
              <w:rPr>
                <w:color w:val="auto"/>
                <w:sz w:val="24"/>
                <w:highlight w:val="none"/>
              </w:rPr>
              <w:t>10）中标人应做好廉政风险防控，不得利用本次政府采购业务关系，通过任何形式接受、索要相关单位或人员的礼金、有价证券、贵重物品、好处费、感谢费等。</w:t>
            </w:r>
          </w:p>
        </w:tc>
      </w:tr>
      <w:tr w14:paraId="231DC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798209">
            <w:pPr>
              <w:rPr>
                <w:color w:val="auto"/>
                <w:highlight w:val="none"/>
              </w:rPr>
            </w:pPr>
          </w:p>
        </w:tc>
        <w:tc>
          <w:tcPr>
            <w:tcW w:w="415" w:type="dxa"/>
          </w:tcPr>
          <w:p w14:paraId="0BFF209D">
            <w:pPr>
              <w:pStyle w:val="4"/>
              <w:rPr>
                <w:color w:val="auto"/>
                <w:highlight w:val="none"/>
              </w:rPr>
            </w:pPr>
            <w:r>
              <w:rPr>
                <w:color w:val="auto"/>
                <w:highlight w:val="none"/>
              </w:rPr>
              <w:t>3</w:t>
            </w:r>
          </w:p>
        </w:tc>
        <w:tc>
          <w:tcPr>
            <w:tcW w:w="5814" w:type="dxa"/>
          </w:tcPr>
          <w:p w14:paraId="1D36DA21">
            <w:pPr>
              <w:pStyle w:val="4"/>
              <w:ind w:firstLine="241"/>
              <w:jc w:val="both"/>
              <w:rPr>
                <w:color w:val="auto"/>
                <w:highlight w:val="none"/>
              </w:rPr>
            </w:pPr>
            <w:r>
              <w:rPr>
                <w:b/>
                <w:color w:val="auto"/>
                <w:sz w:val="24"/>
                <w:highlight w:val="none"/>
              </w:rPr>
              <w:t>（3）报价要求</w:t>
            </w:r>
          </w:p>
          <w:p w14:paraId="6921B1B1">
            <w:pPr>
              <w:pStyle w:val="4"/>
              <w:ind w:firstLine="480"/>
              <w:jc w:val="left"/>
              <w:rPr>
                <w:color w:val="auto"/>
                <w:highlight w:val="none"/>
              </w:rPr>
            </w:pPr>
            <w:r>
              <w:rPr>
                <w:color w:val="auto"/>
                <w:sz w:val="24"/>
                <w:highlight w:val="none"/>
              </w:rPr>
              <w:t>1）辖区两个服务标段合计总费用为11</w:t>
            </w:r>
            <w:r>
              <w:rPr>
                <w:rFonts w:hint="eastAsia"/>
                <w:color w:val="auto"/>
                <w:sz w:val="24"/>
                <w:highlight w:val="none"/>
                <w:lang w:val="en-US" w:eastAsia="zh-CN"/>
              </w:rPr>
              <w:t>0</w:t>
            </w:r>
            <w:r>
              <w:rPr>
                <w:color w:val="auto"/>
                <w:sz w:val="24"/>
                <w:highlight w:val="none"/>
              </w:rPr>
              <w:t>万元，每个采购包预算价：5</w:t>
            </w:r>
            <w:r>
              <w:rPr>
                <w:rFonts w:hint="eastAsia"/>
                <w:color w:val="auto"/>
                <w:sz w:val="24"/>
                <w:highlight w:val="none"/>
                <w:lang w:val="en-US" w:eastAsia="zh-CN"/>
              </w:rPr>
              <w:t>50000.00</w:t>
            </w:r>
            <w:r>
              <w:rPr>
                <w:color w:val="auto"/>
                <w:sz w:val="24"/>
                <w:highlight w:val="none"/>
              </w:rPr>
              <w:t>元，每个采购包各项单价最高限价如下：塔式起重机：2300元/台；施工升降机：2000元/台；门式起重机2850元/台；物料提升机：12</w:t>
            </w:r>
            <w:r>
              <w:rPr>
                <w:rFonts w:hint="eastAsia"/>
                <w:color w:val="auto"/>
                <w:sz w:val="24"/>
                <w:highlight w:val="none"/>
                <w:lang w:val="en-US" w:eastAsia="zh-CN"/>
              </w:rPr>
              <w:t>0</w:t>
            </w:r>
            <w:r>
              <w:rPr>
                <w:color w:val="auto"/>
                <w:sz w:val="24"/>
                <w:highlight w:val="none"/>
              </w:rPr>
              <w:t>0元/台；高处作业吊篮：11</w:t>
            </w:r>
            <w:r>
              <w:rPr>
                <w:rFonts w:hint="eastAsia"/>
                <w:color w:val="auto"/>
                <w:sz w:val="24"/>
                <w:highlight w:val="none"/>
                <w:lang w:val="en-US" w:eastAsia="zh-CN"/>
              </w:rPr>
              <w:t>0</w:t>
            </w:r>
            <w:r>
              <w:rPr>
                <w:color w:val="auto"/>
                <w:sz w:val="24"/>
                <w:highlight w:val="none"/>
              </w:rPr>
              <w:t>0元/台。报价实行单价限价，若单价报价超过最高限价，将被视为无效报价。整体项目单价包干、总价按采购预算价控制，最终按中标单价及实际审查宗数结算。</w:t>
            </w:r>
          </w:p>
          <w:p w14:paraId="419A663C">
            <w:pPr>
              <w:pStyle w:val="4"/>
              <w:ind w:firstLine="480"/>
              <w:jc w:val="left"/>
              <w:rPr>
                <w:color w:val="auto"/>
                <w:highlight w:val="none"/>
              </w:rPr>
            </w:pPr>
            <w:r>
              <w:rPr>
                <w:color w:val="auto"/>
                <w:sz w:val="24"/>
                <w:highlight w:val="none"/>
              </w:rPr>
              <w:t>2） 投标报价中必须包括项目所需的场地费、设备费、耗材费、工作人员的工资费、差旅费、材料费、保险费、办证所需的一切费用、相关管理费及税费等合同实施过程中的应预见和不可预见费用等完成本采购内容所需的一切费用及企业利润(如应安置户及政府职能部门缴交的费用除外），并应包含应由中标人缴纳的本次招标代理服务费。</w:t>
            </w:r>
          </w:p>
          <w:p w14:paraId="5DE28F2E">
            <w:pPr>
              <w:pStyle w:val="4"/>
              <w:ind w:firstLine="480"/>
              <w:jc w:val="left"/>
              <w:rPr>
                <w:color w:val="auto"/>
                <w:highlight w:val="none"/>
              </w:rPr>
            </w:pPr>
            <w:r>
              <w:rPr>
                <w:color w:val="auto"/>
                <w:sz w:val="24"/>
                <w:highlight w:val="none"/>
              </w:rPr>
              <w:t>3）投标人必须自行考虑在本项目服务实施期间的一切可能产生的费用(如应安置户及政府职能部门缴交的费用除外），在项目的实施过程中，采购人除了支付合同规定的款项外，一切合同规定外的费用将拒绝支付。</w:t>
            </w:r>
          </w:p>
          <w:p w14:paraId="3D2040C8">
            <w:pPr>
              <w:pStyle w:val="4"/>
              <w:ind w:firstLine="480"/>
              <w:jc w:val="left"/>
              <w:rPr>
                <w:color w:val="auto"/>
                <w:highlight w:val="none"/>
              </w:rPr>
            </w:pPr>
            <w:r>
              <w:rPr>
                <w:color w:val="auto"/>
                <w:sz w:val="24"/>
                <w:highlight w:val="none"/>
              </w:rPr>
              <w:t>4）投标人应根据企业自身能力报出各单项服务费统一的投标折扣(%)（例如：塔式起重机单价为2300元，投标折扣率为90%，该项投标单价：2300元*90%=2070元），0&lt;投标折扣≤100%。该投标折扣率必须为唯一且固定的(如60%等)，不得存在区间值(如55%-65%等)。</w:t>
            </w:r>
          </w:p>
          <w:p w14:paraId="55B2347F">
            <w:pPr>
              <w:pStyle w:val="4"/>
              <w:ind w:firstLine="480"/>
              <w:jc w:val="left"/>
              <w:rPr>
                <w:color w:val="auto"/>
                <w:highlight w:val="none"/>
              </w:rPr>
            </w:pPr>
            <w:r>
              <w:rPr>
                <w:color w:val="auto"/>
                <w:sz w:val="24"/>
                <w:highlight w:val="none"/>
              </w:rPr>
              <w:t>5）投标人所报投标折扣低于成本价的，必须在投标文件中提供报价说明，并提交相关证明材料证明其报价合理性。评标委员会认为投标人不能证明其报价合理性的，或有可能影响产品质量或者不能诚信履约的，应当将其作为无效投标处理。</w:t>
            </w:r>
          </w:p>
          <w:p w14:paraId="33FFBEA8">
            <w:pPr>
              <w:pStyle w:val="4"/>
              <w:ind w:firstLine="480"/>
              <w:jc w:val="left"/>
              <w:rPr>
                <w:color w:val="auto"/>
                <w:highlight w:val="none"/>
              </w:rPr>
            </w:pPr>
            <w:r>
              <w:rPr>
                <w:color w:val="auto"/>
                <w:sz w:val="24"/>
                <w:highlight w:val="none"/>
              </w:rPr>
              <w:t>6）本项目工作量结算金额累计达到采购预算金额，合同服务期内，根据采购人的相关工作需求，中标人还应给予技术指导并提供相关技术咨询服务。</w:t>
            </w:r>
          </w:p>
          <w:p w14:paraId="4ADDE2E2">
            <w:pPr>
              <w:pStyle w:val="4"/>
              <w:ind w:firstLine="480"/>
              <w:jc w:val="left"/>
              <w:rPr>
                <w:color w:val="auto"/>
                <w:highlight w:val="none"/>
              </w:rPr>
            </w:pPr>
            <w:r>
              <w:rPr>
                <w:color w:val="auto"/>
                <w:sz w:val="24"/>
                <w:highlight w:val="none"/>
              </w:rPr>
              <w:t>7）补充说明：</w:t>
            </w:r>
          </w:p>
          <w:p w14:paraId="2F4EDDDB">
            <w:pPr>
              <w:pStyle w:val="4"/>
              <w:ind w:firstLine="480"/>
              <w:jc w:val="left"/>
              <w:rPr>
                <w:color w:val="auto"/>
                <w:highlight w:val="none"/>
              </w:rPr>
            </w:pPr>
            <w:r>
              <w:rPr>
                <w:color w:val="auto"/>
                <w:sz w:val="24"/>
                <w:highlight w:val="none"/>
              </w:rPr>
              <w:t>中标人在服务期内如有以下问题，一经查实，采购人有权取消中标人的服务资格，其替补资格由参加投标时有效投标供应商综合得分排序由高至低依次候补替换取得；</w:t>
            </w:r>
          </w:p>
          <w:p w14:paraId="439D59B9">
            <w:pPr>
              <w:pStyle w:val="4"/>
              <w:ind w:firstLine="480"/>
              <w:jc w:val="left"/>
              <w:rPr>
                <w:color w:val="auto"/>
                <w:highlight w:val="none"/>
              </w:rPr>
            </w:pPr>
            <w:r>
              <w:rPr>
                <w:color w:val="auto"/>
                <w:sz w:val="24"/>
                <w:highlight w:val="none"/>
              </w:rPr>
              <w:t>1.1中标供应商提供虚假信息，误导或欺骗采购人，以谋取非法利益；</w:t>
            </w:r>
          </w:p>
          <w:p w14:paraId="699165E1">
            <w:pPr>
              <w:pStyle w:val="4"/>
              <w:ind w:firstLine="480"/>
              <w:jc w:val="left"/>
              <w:rPr>
                <w:color w:val="auto"/>
                <w:highlight w:val="none"/>
              </w:rPr>
            </w:pPr>
            <w:r>
              <w:rPr>
                <w:color w:val="auto"/>
                <w:sz w:val="24"/>
                <w:highlight w:val="none"/>
              </w:rPr>
              <w:t>1.2无正当理由拒绝采购人的委托；</w:t>
            </w:r>
          </w:p>
          <w:p w14:paraId="49E832CF">
            <w:pPr>
              <w:pStyle w:val="4"/>
              <w:ind w:firstLine="480"/>
              <w:jc w:val="left"/>
              <w:rPr>
                <w:color w:val="auto"/>
                <w:highlight w:val="none"/>
              </w:rPr>
            </w:pPr>
            <w:r>
              <w:rPr>
                <w:color w:val="auto"/>
                <w:sz w:val="24"/>
                <w:highlight w:val="none"/>
              </w:rPr>
              <w:t>1.3中标人违反了诚实信用和投标承诺，没有严格执行相关质量、服务和收费标准，损害采购人或第三方的利益；</w:t>
            </w:r>
          </w:p>
          <w:p w14:paraId="1AC7D3E4">
            <w:pPr>
              <w:pStyle w:val="4"/>
              <w:ind w:firstLine="480"/>
              <w:jc w:val="left"/>
              <w:rPr>
                <w:color w:val="auto"/>
                <w:highlight w:val="none"/>
              </w:rPr>
            </w:pPr>
            <w:r>
              <w:rPr>
                <w:color w:val="auto"/>
                <w:sz w:val="24"/>
                <w:highlight w:val="none"/>
              </w:rPr>
              <w:t>1.4拒绝接受采购人和相关部门监督和检查的；</w:t>
            </w:r>
          </w:p>
          <w:p w14:paraId="47758EB7">
            <w:pPr>
              <w:pStyle w:val="4"/>
              <w:ind w:firstLine="480"/>
              <w:jc w:val="left"/>
              <w:rPr>
                <w:color w:val="auto"/>
                <w:highlight w:val="none"/>
              </w:rPr>
            </w:pPr>
            <w:r>
              <w:rPr>
                <w:color w:val="auto"/>
                <w:sz w:val="24"/>
                <w:highlight w:val="none"/>
              </w:rPr>
              <w:t>1.5中标人出现信用危机、财务危机、经营危机甚至破产、倒闭，无法继续履行合同（协议）；</w:t>
            </w:r>
          </w:p>
          <w:p w14:paraId="74007E24">
            <w:pPr>
              <w:pStyle w:val="4"/>
              <w:ind w:firstLine="480"/>
              <w:jc w:val="left"/>
              <w:rPr>
                <w:color w:val="auto"/>
                <w:highlight w:val="none"/>
              </w:rPr>
            </w:pPr>
            <w:r>
              <w:rPr>
                <w:color w:val="auto"/>
                <w:sz w:val="24"/>
                <w:highlight w:val="none"/>
              </w:rPr>
              <w:t>1.6中标人采用非法手段进行不正当竞争的，造成恶劣影响；</w:t>
            </w:r>
          </w:p>
          <w:p w14:paraId="376BAD71">
            <w:pPr>
              <w:pStyle w:val="4"/>
              <w:jc w:val="both"/>
              <w:rPr>
                <w:color w:val="auto"/>
                <w:highlight w:val="none"/>
              </w:rPr>
            </w:pPr>
            <w:r>
              <w:rPr>
                <w:color w:val="auto"/>
                <w:sz w:val="24"/>
                <w:highlight w:val="none"/>
              </w:rPr>
              <w:t>1.7中标人违反相关行业法律法规受到有关部门惩处或成果文件、报告发生重大失误造成恶劣影响的。</w:t>
            </w:r>
          </w:p>
        </w:tc>
      </w:tr>
      <w:tr w14:paraId="43FA1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BE05ADC">
            <w:pPr>
              <w:rPr>
                <w:color w:val="auto"/>
                <w:highlight w:val="none"/>
              </w:rPr>
            </w:pPr>
          </w:p>
        </w:tc>
        <w:tc>
          <w:tcPr>
            <w:tcW w:w="415" w:type="dxa"/>
          </w:tcPr>
          <w:p w14:paraId="14701907">
            <w:pPr>
              <w:pStyle w:val="4"/>
              <w:rPr>
                <w:color w:val="auto"/>
                <w:highlight w:val="none"/>
              </w:rPr>
            </w:pPr>
            <w:r>
              <w:rPr>
                <w:color w:val="auto"/>
                <w:highlight w:val="none"/>
              </w:rPr>
              <w:t>4</w:t>
            </w:r>
          </w:p>
        </w:tc>
        <w:tc>
          <w:tcPr>
            <w:tcW w:w="5814" w:type="dxa"/>
          </w:tcPr>
          <w:p w14:paraId="4B2D0737">
            <w:pPr>
              <w:pStyle w:val="4"/>
              <w:ind w:firstLine="240"/>
              <w:jc w:val="both"/>
              <w:rPr>
                <w:color w:val="auto"/>
                <w:highlight w:val="none"/>
              </w:rPr>
            </w:pPr>
            <w:r>
              <w:rPr>
                <w:b/>
                <w:color w:val="auto"/>
                <w:sz w:val="24"/>
                <w:highlight w:val="none"/>
              </w:rPr>
              <w:t>（4）工作要求</w:t>
            </w:r>
          </w:p>
          <w:p w14:paraId="147F730F">
            <w:pPr>
              <w:pStyle w:val="4"/>
              <w:ind w:firstLine="240"/>
              <w:jc w:val="both"/>
              <w:rPr>
                <w:color w:val="auto"/>
                <w:highlight w:val="none"/>
              </w:rPr>
            </w:pPr>
            <w:r>
              <w:rPr>
                <w:color w:val="auto"/>
                <w:sz w:val="24"/>
                <w:highlight w:val="none"/>
              </w:rPr>
              <w:t xml:space="preserve"> 1）监督执法抽查检测工作应遵守计划性和随机性有机结合原则，实事求是，公平公正，不弄虚作假，严格按照工作程序要求进行监督执法抽查检测工作，规范工地现场执法行为。</w:t>
            </w:r>
          </w:p>
          <w:p w14:paraId="1B309D02">
            <w:pPr>
              <w:pStyle w:val="4"/>
              <w:jc w:val="both"/>
              <w:rPr>
                <w:color w:val="auto"/>
                <w:highlight w:val="none"/>
              </w:rPr>
            </w:pPr>
            <w:r>
              <w:rPr>
                <w:color w:val="auto"/>
                <w:sz w:val="24"/>
                <w:highlight w:val="none"/>
              </w:rPr>
              <w:t xml:space="preserve">   2）中标人应服从采购人的现场管理要求，及时反馈抽检初步意见，按时提交客观公正的检测报告和相关资料。服务单位还应给予技术指导并提供相关技术咨询，阶段性总结监督执法抽查检测工作经验，分析工作成效，对存在的问题隐患进行分析，提出应对措施及合理化建议，并形成半年和全年总结报告。</w:t>
            </w:r>
          </w:p>
          <w:p w14:paraId="3E5EF37E">
            <w:pPr>
              <w:pStyle w:val="4"/>
              <w:ind w:firstLine="240"/>
              <w:jc w:val="left"/>
              <w:rPr>
                <w:color w:val="auto"/>
                <w:highlight w:val="none"/>
              </w:rPr>
            </w:pPr>
            <w:r>
              <w:rPr>
                <w:color w:val="auto"/>
                <w:sz w:val="24"/>
                <w:highlight w:val="none"/>
              </w:rPr>
              <w:t>3）本项目工作量结算金额累计达到采购预算金额，合同服务期内，根据采购人的相关工作需求，中标人还应给予技术指导并提供相关技术咨询服务。</w:t>
            </w:r>
          </w:p>
          <w:p w14:paraId="21B9C1CF">
            <w:pPr>
              <w:pStyle w:val="4"/>
              <w:jc w:val="both"/>
              <w:rPr>
                <w:color w:val="auto"/>
                <w:highlight w:val="none"/>
              </w:rPr>
            </w:pPr>
            <w:r>
              <w:rPr>
                <w:color w:val="auto"/>
                <w:sz w:val="21"/>
                <w:highlight w:val="none"/>
              </w:rPr>
              <w:t xml:space="preserve">   </w:t>
            </w:r>
            <w:r>
              <w:rPr>
                <w:color w:val="auto"/>
                <w:sz w:val="24"/>
                <w:highlight w:val="none"/>
              </w:rPr>
              <w:t>4）中标人人员不得收受被检项目的礼品、红包，不得非法竞争、扰乱市场，否则将依照相关规定及合同条款严肃处理。</w:t>
            </w:r>
          </w:p>
          <w:p w14:paraId="391FE487">
            <w:pPr>
              <w:pStyle w:val="4"/>
              <w:jc w:val="both"/>
              <w:rPr>
                <w:color w:val="auto"/>
                <w:highlight w:val="none"/>
              </w:rPr>
            </w:pPr>
            <w:r>
              <w:rPr>
                <w:color w:val="auto"/>
                <w:sz w:val="21"/>
                <w:highlight w:val="none"/>
              </w:rPr>
              <w:t xml:space="preserve">  </w:t>
            </w:r>
            <w:r>
              <w:rPr>
                <w:color w:val="auto"/>
                <w:sz w:val="24"/>
                <w:highlight w:val="none"/>
              </w:rPr>
              <w:t xml:space="preserve"> 5）中标人应严格遵守党纪、政纪、国家法律法规及各项廉政规定，认真履行工作职责，公正执法，廉洁自律。  </w:t>
            </w:r>
          </w:p>
        </w:tc>
      </w:tr>
      <w:tr w14:paraId="105C3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2C37B9">
            <w:pPr>
              <w:pStyle w:val="4"/>
              <w:rPr>
                <w:color w:val="auto"/>
                <w:highlight w:val="none"/>
              </w:rPr>
            </w:pPr>
            <w:r>
              <w:rPr>
                <w:color w:val="auto"/>
                <w:highlight w:val="none"/>
              </w:rPr>
              <w:t>说明</w:t>
            </w:r>
          </w:p>
        </w:tc>
        <w:tc>
          <w:tcPr>
            <w:tcW w:w="6229" w:type="dxa"/>
            <w:gridSpan w:val="2"/>
          </w:tcPr>
          <w:p w14:paraId="3F2B6F5B">
            <w:pPr>
              <w:pStyle w:val="4"/>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70FBF19B">
      <w:pPr>
        <w:pStyle w:val="4"/>
        <w:rPr>
          <w:color w:val="auto"/>
          <w:highlight w:val="none"/>
        </w:rPr>
      </w:pPr>
      <w:r>
        <w:rPr>
          <w:color w:val="auto"/>
          <w:highlight w:val="none"/>
        </w:rPr>
        <w:t>采购包2（(建筑起重机械监督执法抽查检测服务（</w:t>
      </w:r>
      <w:r>
        <w:rPr>
          <w:rFonts w:hint="eastAsia"/>
          <w:color w:val="auto"/>
          <w:highlight w:val="none"/>
          <w:lang w:eastAsia="zh-CN"/>
        </w:rPr>
        <w:t>包组二</w:t>
      </w:r>
      <w:r>
        <w:rPr>
          <w:color w:val="auto"/>
          <w:highlight w:val="none"/>
        </w:rPr>
        <w:t>））</w:t>
      </w:r>
      <w:r>
        <w:rPr>
          <w:b/>
          <w:color w:val="auto"/>
          <w:highlight w:val="none"/>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3DDE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6DF9627">
            <w:pPr>
              <w:pStyle w:val="4"/>
              <w:rPr>
                <w:color w:val="auto"/>
                <w:highlight w:val="none"/>
              </w:rPr>
            </w:pPr>
            <w:r>
              <w:rPr>
                <w:color w:val="auto"/>
                <w:highlight w:val="none"/>
              </w:rPr>
              <w:t>标的提供的时间</w:t>
            </w:r>
          </w:p>
        </w:tc>
        <w:tc>
          <w:tcPr>
            <w:tcW w:w="4153" w:type="dxa"/>
          </w:tcPr>
          <w:p w14:paraId="3F0DD238">
            <w:pPr>
              <w:pStyle w:val="4"/>
              <w:rPr>
                <w:color w:val="auto"/>
                <w:highlight w:val="none"/>
              </w:rPr>
            </w:pPr>
            <w:r>
              <w:rPr>
                <w:color w:val="auto"/>
                <w:highlight w:val="none"/>
              </w:rPr>
              <w:t>自与服务单位签订合同之日起一年。</w:t>
            </w:r>
          </w:p>
        </w:tc>
      </w:tr>
      <w:tr w14:paraId="6B41A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ADFCA6">
            <w:pPr>
              <w:pStyle w:val="4"/>
              <w:rPr>
                <w:color w:val="auto"/>
                <w:highlight w:val="none"/>
              </w:rPr>
            </w:pPr>
            <w:r>
              <w:rPr>
                <w:color w:val="auto"/>
                <w:highlight w:val="none"/>
              </w:rPr>
              <w:t>标的提供的地点</w:t>
            </w:r>
          </w:p>
        </w:tc>
        <w:tc>
          <w:tcPr>
            <w:tcW w:w="4153" w:type="dxa"/>
          </w:tcPr>
          <w:p w14:paraId="0C46BD99">
            <w:pPr>
              <w:pStyle w:val="4"/>
              <w:rPr>
                <w:color w:val="auto"/>
                <w:highlight w:val="none"/>
              </w:rPr>
            </w:pPr>
            <w:r>
              <w:rPr>
                <w:color w:val="auto"/>
                <w:highlight w:val="none"/>
              </w:rPr>
              <w:t>黄埔区在建工程或其他有必要委托服务单位监督执法抽查检测的项目。</w:t>
            </w:r>
          </w:p>
        </w:tc>
      </w:tr>
      <w:tr w14:paraId="1A0E1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ADDDAF">
            <w:pPr>
              <w:pStyle w:val="4"/>
              <w:rPr>
                <w:color w:val="auto"/>
                <w:highlight w:val="none"/>
              </w:rPr>
            </w:pPr>
            <w:r>
              <w:rPr>
                <w:color w:val="auto"/>
                <w:highlight w:val="none"/>
              </w:rPr>
              <w:t>付款方式</w:t>
            </w:r>
          </w:p>
        </w:tc>
        <w:tc>
          <w:tcPr>
            <w:tcW w:w="4153" w:type="dxa"/>
          </w:tcPr>
          <w:p w14:paraId="60329B4D">
            <w:pPr>
              <w:pStyle w:val="4"/>
              <w:rPr>
                <w:color w:val="auto"/>
                <w:highlight w:val="none"/>
              </w:rPr>
            </w:pPr>
            <w:r>
              <w:rPr>
                <w:color w:val="auto"/>
                <w:highlight w:val="none"/>
              </w:rPr>
              <w:t>第1期为(付款方式)：支付比例100%，1）中标人需交付等额合法发票及服务进度统计报表等资料申请付款，否则付款延误的责任由中标人自行承担。因采购人使用的是财政资金，采购人在请款规定的付款时间为向政府采购支付部门提出办理财政支付申请手续的时间（不含政府财政支付部门审核的时间），在规定时间内提出支付申请手续后即视为采购人已经按期支付。 2）双方约定的服务费（进度款）支付的方式和时间如下： 1.1辖区两个服务标段合计总费用为11</w:t>
            </w:r>
            <w:r>
              <w:rPr>
                <w:rFonts w:hint="eastAsia"/>
                <w:color w:val="auto"/>
                <w:highlight w:val="none"/>
                <w:lang w:val="en-US" w:eastAsia="zh-CN"/>
              </w:rPr>
              <w:t>0</w:t>
            </w:r>
            <w:r>
              <w:rPr>
                <w:color w:val="auto"/>
                <w:highlight w:val="none"/>
              </w:rPr>
              <w:t>万元，每个服务标段预算价为5</w:t>
            </w:r>
            <w:r>
              <w:rPr>
                <w:rFonts w:hint="eastAsia"/>
                <w:color w:val="auto"/>
                <w:highlight w:val="none"/>
                <w:lang w:val="en-US" w:eastAsia="zh-CN"/>
              </w:rPr>
              <w:t>5</w:t>
            </w:r>
            <w:r>
              <w:rPr>
                <w:color w:val="auto"/>
                <w:highlight w:val="none"/>
              </w:rPr>
              <w:t>万元，每标段合同暂估价为</w:t>
            </w:r>
            <w:r>
              <w:rPr>
                <w:rFonts w:hint="eastAsia"/>
                <w:color w:val="auto"/>
                <w:highlight w:val="none"/>
                <w:lang w:val="en-US" w:eastAsia="zh-CN"/>
              </w:rPr>
              <w:t>55</w:t>
            </w:r>
            <w:r>
              <w:rPr>
                <w:color w:val="auto"/>
                <w:highlight w:val="none"/>
              </w:rPr>
              <w:t>万元，最终按中标单价及实际监督执法抽查检测台数结算； 1.2 根据实际完成工作量，按月或季度支付服务费。 1.3 如在202</w:t>
            </w:r>
            <w:r>
              <w:rPr>
                <w:rFonts w:hint="eastAsia"/>
                <w:color w:val="auto"/>
                <w:highlight w:val="none"/>
                <w:lang w:val="en-US" w:eastAsia="zh-CN"/>
              </w:rPr>
              <w:t>6</w:t>
            </w:r>
            <w:r>
              <w:rPr>
                <w:color w:val="auto"/>
                <w:highlight w:val="none"/>
              </w:rPr>
              <w:t>年12月20日合同预算费用对比根据实际完成工作量支付的服务费仍有剩余的，则根据采购单位的抽检任务清单，将剩余合同款项于202</w:t>
            </w:r>
            <w:r>
              <w:rPr>
                <w:rFonts w:hint="eastAsia"/>
                <w:color w:val="auto"/>
                <w:highlight w:val="none"/>
                <w:lang w:val="en-US" w:eastAsia="zh-CN"/>
              </w:rPr>
              <w:t>6</w:t>
            </w:r>
            <w:r>
              <w:rPr>
                <w:color w:val="auto"/>
                <w:highlight w:val="none"/>
              </w:rPr>
              <w:t>年12月25 日前一次性预付，服务期内合同继续有效，直至中标人实际完成抽检任务清单的工作量计算的服务费达到合同预算总费用时止。若区财政局对本项目决算或审计部门对本项目审计调整合同价款的，则按决算或审计确定金额支付合同款项。已多支付的，承接单位应返还委托单位或由委托单位在其他应付承接单位款项中抵扣。 3）本项目实行单价包干，总价控制，按实际工作量结算的承包方式。乙方按甲方的要求和标准开展工作，并接受甲方的指导、监督和检查验收，不得将业务转包或分包。。</w:t>
            </w:r>
          </w:p>
        </w:tc>
      </w:tr>
      <w:tr w14:paraId="1A889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970E153">
            <w:pPr>
              <w:pStyle w:val="4"/>
              <w:rPr>
                <w:color w:val="auto"/>
                <w:highlight w:val="none"/>
              </w:rPr>
            </w:pPr>
            <w:r>
              <w:rPr>
                <w:color w:val="auto"/>
                <w:highlight w:val="none"/>
              </w:rPr>
              <w:t>如项目发生合同融资，采购人应当将合同款项支付到合同约定收款账户。</w:t>
            </w:r>
          </w:p>
        </w:tc>
      </w:tr>
      <w:tr w14:paraId="0DF5E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F5E3D7">
            <w:pPr>
              <w:pStyle w:val="4"/>
              <w:rPr>
                <w:color w:val="auto"/>
                <w:highlight w:val="none"/>
              </w:rPr>
            </w:pPr>
            <w:r>
              <w:rPr>
                <w:color w:val="auto"/>
                <w:highlight w:val="none"/>
              </w:rPr>
              <w:t>验收要求</w:t>
            </w:r>
          </w:p>
        </w:tc>
        <w:tc>
          <w:tcPr>
            <w:tcW w:w="4153" w:type="dxa"/>
          </w:tcPr>
          <w:p w14:paraId="020301BC">
            <w:pPr>
              <w:pStyle w:val="4"/>
              <w:rPr>
                <w:color w:val="auto"/>
                <w:highlight w:val="none"/>
              </w:rPr>
            </w:pPr>
            <w:r>
              <w:rPr>
                <w:color w:val="auto"/>
                <w:highlight w:val="none"/>
              </w:rPr>
              <w:t>1期：按国家、省市及行业相关规定执行。</w:t>
            </w:r>
          </w:p>
        </w:tc>
      </w:tr>
      <w:tr w14:paraId="39532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32CEEB">
            <w:pPr>
              <w:pStyle w:val="4"/>
              <w:rPr>
                <w:color w:val="auto"/>
                <w:highlight w:val="none"/>
              </w:rPr>
            </w:pPr>
            <w:r>
              <w:rPr>
                <w:color w:val="auto"/>
                <w:highlight w:val="none"/>
              </w:rPr>
              <w:t>履约保证金</w:t>
            </w:r>
          </w:p>
        </w:tc>
        <w:tc>
          <w:tcPr>
            <w:tcW w:w="4153" w:type="dxa"/>
          </w:tcPr>
          <w:p w14:paraId="75F91508">
            <w:pPr>
              <w:pStyle w:val="4"/>
              <w:rPr>
                <w:color w:val="auto"/>
                <w:highlight w:val="none"/>
              </w:rPr>
            </w:pPr>
            <w:r>
              <w:rPr>
                <w:color w:val="auto"/>
                <w:highlight w:val="none"/>
              </w:rPr>
              <w:t>不收取</w:t>
            </w:r>
          </w:p>
        </w:tc>
      </w:tr>
      <w:tr w14:paraId="65D3A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81C385">
            <w:pPr>
              <w:pStyle w:val="4"/>
              <w:rPr>
                <w:color w:val="auto"/>
                <w:highlight w:val="none"/>
              </w:rPr>
            </w:pPr>
            <w:r>
              <w:rPr>
                <w:color w:val="auto"/>
                <w:highlight w:val="none"/>
              </w:rPr>
              <w:t>其他</w:t>
            </w:r>
          </w:p>
        </w:tc>
        <w:tc>
          <w:tcPr>
            <w:tcW w:w="4153" w:type="dxa"/>
          </w:tcPr>
          <w:p w14:paraId="7C8DE807">
            <w:pPr>
              <w:pStyle w:val="4"/>
              <w:rPr>
                <w:color w:val="auto"/>
                <w:highlight w:val="none"/>
              </w:rPr>
            </w:pPr>
          </w:p>
        </w:tc>
      </w:tr>
    </w:tbl>
    <w:p w14:paraId="0DFBC4AE">
      <w:pPr>
        <w:pStyle w:val="4"/>
        <w:rPr>
          <w:color w:val="auto"/>
          <w:highlight w:val="none"/>
        </w:rPr>
      </w:pPr>
      <w:r>
        <w:rPr>
          <w:b/>
          <w:color w:val="auto"/>
          <w:highlight w:val="none"/>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8"/>
        <w:gridCol w:w="809"/>
        <w:gridCol w:w="788"/>
        <w:gridCol w:w="804"/>
        <w:gridCol w:w="1078"/>
        <w:gridCol w:w="1078"/>
        <w:gridCol w:w="814"/>
        <w:gridCol w:w="788"/>
        <w:gridCol w:w="788"/>
      </w:tblGrid>
      <w:tr w14:paraId="70543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D5CD7C">
            <w:pPr>
              <w:pStyle w:val="4"/>
              <w:jc w:val="center"/>
              <w:rPr>
                <w:color w:val="auto"/>
                <w:highlight w:val="none"/>
              </w:rPr>
            </w:pPr>
            <w:r>
              <w:rPr>
                <w:color w:val="auto"/>
                <w:highlight w:val="none"/>
              </w:rPr>
              <w:t>序号</w:t>
            </w:r>
          </w:p>
        </w:tc>
        <w:tc>
          <w:tcPr>
            <w:tcW w:w="831" w:type="dxa"/>
          </w:tcPr>
          <w:p w14:paraId="76351EE4">
            <w:pPr>
              <w:pStyle w:val="4"/>
              <w:jc w:val="center"/>
              <w:rPr>
                <w:color w:val="auto"/>
                <w:highlight w:val="none"/>
              </w:rPr>
            </w:pPr>
            <w:r>
              <w:rPr>
                <w:color w:val="auto"/>
                <w:highlight w:val="none"/>
              </w:rPr>
              <w:t>品目名称</w:t>
            </w:r>
          </w:p>
        </w:tc>
        <w:tc>
          <w:tcPr>
            <w:tcW w:w="831" w:type="dxa"/>
          </w:tcPr>
          <w:p w14:paraId="2D4ECD96">
            <w:pPr>
              <w:pStyle w:val="4"/>
              <w:jc w:val="center"/>
              <w:rPr>
                <w:color w:val="auto"/>
                <w:highlight w:val="none"/>
              </w:rPr>
            </w:pPr>
            <w:r>
              <w:rPr>
                <w:color w:val="auto"/>
                <w:highlight w:val="none"/>
              </w:rPr>
              <w:t>标的名称</w:t>
            </w:r>
          </w:p>
        </w:tc>
        <w:tc>
          <w:tcPr>
            <w:tcW w:w="831" w:type="dxa"/>
          </w:tcPr>
          <w:p w14:paraId="35AC77E4">
            <w:pPr>
              <w:pStyle w:val="4"/>
              <w:jc w:val="center"/>
              <w:rPr>
                <w:color w:val="auto"/>
                <w:highlight w:val="none"/>
              </w:rPr>
            </w:pPr>
            <w:r>
              <w:rPr>
                <w:color w:val="auto"/>
                <w:highlight w:val="none"/>
              </w:rPr>
              <w:t>单位</w:t>
            </w:r>
          </w:p>
        </w:tc>
        <w:tc>
          <w:tcPr>
            <w:tcW w:w="831" w:type="dxa"/>
          </w:tcPr>
          <w:p w14:paraId="096084E8">
            <w:pPr>
              <w:pStyle w:val="4"/>
              <w:jc w:val="center"/>
              <w:rPr>
                <w:color w:val="auto"/>
                <w:highlight w:val="none"/>
              </w:rPr>
            </w:pPr>
            <w:r>
              <w:rPr>
                <w:color w:val="auto"/>
                <w:highlight w:val="none"/>
              </w:rPr>
              <w:t>数量</w:t>
            </w:r>
          </w:p>
        </w:tc>
        <w:tc>
          <w:tcPr>
            <w:tcW w:w="831" w:type="dxa"/>
          </w:tcPr>
          <w:p w14:paraId="7D537E17">
            <w:pPr>
              <w:pStyle w:val="4"/>
              <w:jc w:val="center"/>
              <w:rPr>
                <w:color w:val="auto"/>
                <w:highlight w:val="none"/>
              </w:rPr>
            </w:pPr>
            <w:r>
              <w:rPr>
                <w:color w:val="auto"/>
                <w:highlight w:val="none"/>
              </w:rPr>
              <w:t>分项预算单价（元）</w:t>
            </w:r>
          </w:p>
        </w:tc>
        <w:tc>
          <w:tcPr>
            <w:tcW w:w="831" w:type="dxa"/>
          </w:tcPr>
          <w:p w14:paraId="70AF6576">
            <w:pPr>
              <w:pStyle w:val="4"/>
              <w:jc w:val="center"/>
              <w:rPr>
                <w:color w:val="auto"/>
                <w:highlight w:val="none"/>
              </w:rPr>
            </w:pPr>
            <w:r>
              <w:rPr>
                <w:color w:val="auto"/>
                <w:highlight w:val="none"/>
              </w:rPr>
              <w:t>分项预算总价（元）</w:t>
            </w:r>
          </w:p>
        </w:tc>
        <w:tc>
          <w:tcPr>
            <w:tcW w:w="831" w:type="dxa"/>
          </w:tcPr>
          <w:p w14:paraId="64252F60">
            <w:pPr>
              <w:pStyle w:val="4"/>
              <w:jc w:val="center"/>
              <w:rPr>
                <w:color w:val="auto"/>
                <w:highlight w:val="none"/>
              </w:rPr>
            </w:pPr>
            <w:r>
              <w:rPr>
                <w:color w:val="auto"/>
                <w:highlight w:val="none"/>
              </w:rPr>
              <w:t xml:space="preserve"> 权重%</w:t>
            </w:r>
          </w:p>
        </w:tc>
        <w:tc>
          <w:tcPr>
            <w:tcW w:w="831" w:type="dxa"/>
          </w:tcPr>
          <w:p w14:paraId="2228606A">
            <w:pPr>
              <w:pStyle w:val="4"/>
              <w:rPr>
                <w:color w:val="auto"/>
                <w:highlight w:val="none"/>
              </w:rPr>
            </w:pPr>
            <w:r>
              <w:rPr>
                <w:color w:val="auto"/>
                <w:highlight w:val="none"/>
              </w:rPr>
              <w:t>所属行业</w:t>
            </w:r>
          </w:p>
        </w:tc>
        <w:tc>
          <w:tcPr>
            <w:tcW w:w="831" w:type="dxa"/>
          </w:tcPr>
          <w:p w14:paraId="134B9F1C">
            <w:pPr>
              <w:pStyle w:val="4"/>
              <w:jc w:val="center"/>
              <w:rPr>
                <w:color w:val="auto"/>
                <w:highlight w:val="none"/>
              </w:rPr>
            </w:pPr>
            <w:r>
              <w:rPr>
                <w:color w:val="auto"/>
                <w:highlight w:val="none"/>
              </w:rPr>
              <w:t>技术要求</w:t>
            </w:r>
          </w:p>
        </w:tc>
      </w:tr>
      <w:tr w14:paraId="2C590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AC4CBC">
            <w:pPr>
              <w:pStyle w:val="4"/>
              <w:jc w:val="center"/>
              <w:rPr>
                <w:color w:val="auto"/>
                <w:highlight w:val="none"/>
              </w:rPr>
            </w:pPr>
            <w:r>
              <w:rPr>
                <w:color w:val="auto"/>
                <w:highlight w:val="none"/>
              </w:rPr>
              <w:t>1</w:t>
            </w:r>
          </w:p>
        </w:tc>
        <w:tc>
          <w:tcPr>
            <w:tcW w:w="831" w:type="dxa"/>
          </w:tcPr>
          <w:p w14:paraId="72DF7736">
            <w:pPr>
              <w:pStyle w:val="4"/>
              <w:jc w:val="left"/>
              <w:rPr>
                <w:color w:val="auto"/>
                <w:highlight w:val="none"/>
              </w:rPr>
            </w:pPr>
            <w:r>
              <w:rPr>
                <w:color w:val="auto"/>
                <w:highlight w:val="none"/>
              </w:rPr>
              <w:t>其他专业技术服务</w:t>
            </w:r>
          </w:p>
        </w:tc>
        <w:tc>
          <w:tcPr>
            <w:tcW w:w="831" w:type="dxa"/>
          </w:tcPr>
          <w:p w14:paraId="2A81B42E">
            <w:pPr>
              <w:pStyle w:val="4"/>
              <w:jc w:val="left"/>
              <w:rPr>
                <w:color w:val="auto"/>
                <w:highlight w:val="none"/>
              </w:rPr>
            </w:pPr>
            <w:r>
              <w:rPr>
                <w:color w:val="auto"/>
                <w:highlight w:val="none"/>
              </w:rPr>
              <w:t>(建筑起重机械监督执法抽查检测服务（</w:t>
            </w:r>
            <w:r>
              <w:rPr>
                <w:rFonts w:hint="eastAsia"/>
                <w:color w:val="auto"/>
                <w:highlight w:val="none"/>
                <w:lang w:eastAsia="zh-CN"/>
              </w:rPr>
              <w:t>包组二</w:t>
            </w:r>
            <w:r>
              <w:rPr>
                <w:color w:val="auto"/>
                <w:highlight w:val="none"/>
              </w:rPr>
              <w:t>）</w:t>
            </w:r>
          </w:p>
        </w:tc>
        <w:tc>
          <w:tcPr>
            <w:tcW w:w="831" w:type="dxa"/>
          </w:tcPr>
          <w:p w14:paraId="7B16CCFF">
            <w:pPr>
              <w:pStyle w:val="4"/>
              <w:jc w:val="left"/>
              <w:rPr>
                <w:color w:val="auto"/>
                <w:highlight w:val="none"/>
              </w:rPr>
            </w:pPr>
            <w:r>
              <w:rPr>
                <w:color w:val="auto"/>
                <w:highlight w:val="none"/>
              </w:rPr>
              <w:t>年</w:t>
            </w:r>
          </w:p>
        </w:tc>
        <w:tc>
          <w:tcPr>
            <w:tcW w:w="831" w:type="dxa"/>
          </w:tcPr>
          <w:p w14:paraId="48082C1C">
            <w:pPr>
              <w:pStyle w:val="4"/>
              <w:jc w:val="right"/>
              <w:rPr>
                <w:color w:val="auto"/>
                <w:highlight w:val="none"/>
              </w:rPr>
            </w:pPr>
            <w:r>
              <w:rPr>
                <w:color w:val="auto"/>
                <w:highlight w:val="none"/>
              </w:rPr>
              <w:t>1.00</w:t>
            </w:r>
          </w:p>
        </w:tc>
        <w:tc>
          <w:tcPr>
            <w:tcW w:w="831" w:type="dxa"/>
          </w:tcPr>
          <w:p w14:paraId="30FE440F">
            <w:pPr>
              <w:pStyle w:val="4"/>
              <w:jc w:val="right"/>
              <w:rPr>
                <w:rFonts w:hint="default" w:eastAsiaTheme="minorEastAsia"/>
                <w:color w:val="auto"/>
                <w:highlight w:val="none"/>
                <w:lang w:val="en-US" w:eastAsia="zh-CN"/>
              </w:rPr>
            </w:pPr>
            <w:r>
              <w:rPr>
                <w:rFonts w:hint="eastAsia"/>
                <w:color w:val="auto"/>
                <w:highlight w:val="none"/>
                <w:lang w:val="en-US" w:eastAsia="zh-CN"/>
              </w:rPr>
              <w:t>550000.00</w:t>
            </w:r>
          </w:p>
        </w:tc>
        <w:tc>
          <w:tcPr>
            <w:tcW w:w="831" w:type="dxa"/>
          </w:tcPr>
          <w:p w14:paraId="5D3EFFA3">
            <w:pPr>
              <w:pStyle w:val="4"/>
              <w:jc w:val="right"/>
              <w:rPr>
                <w:rFonts w:hint="default" w:eastAsiaTheme="minorEastAsia"/>
                <w:color w:val="auto"/>
                <w:highlight w:val="none"/>
                <w:lang w:val="en-US" w:eastAsia="zh-CN"/>
              </w:rPr>
            </w:pPr>
            <w:r>
              <w:rPr>
                <w:rFonts w:hint="eastAsia"/>
                <w:color w:val="auto"/>
                <w:highlight w:val="none"/>
                <w:lang w:val="en-US" w:eastAsia="zh-CN"/>
              </w:rPr>
              <w:t>550000.00</w:t>
            </w:r>
          </w:p>
        </w:tc>
        <w:tc>
          <w:tcPr>
            <w:tcW w:w="831" w:type="dxa"/>
          </w:tcPr>
          <w:p w14:paraId="72180B4B">
            <w:pPr>
              <w:pStyle w:val="4"/>
              <w:rPr>
                <w:color w:val="auto"/>
                <w:highlight w:val="none"/>
              </w:rPr>
            </w:pPr>
            <w:r>
              <w:rPr>
                <w:color w:val="auto"/>
                <w:highlight w:val="none"/>
              </w:rPr>
              <w:t>100.0</w:t>
            </w:r>
          </w:p>
        </w:tc>
        <w:tc>
          <w:tcPr>
            <w:tcW w:w="831" w:type="dxa"/>
          </w:tcPr>
          <w:p w14:paraId="14D2EC29">
            <w:pPr>
              <w:pStyle w:val="4"/>
              <w:rPr>
                <w:color w:val="auto"/>
                <w:highlight w:val="none"/>
              </w:rPr>
            </w:pPr>
            <w:r>
              <w:rPr>
                <w:color w:val="auto"/>
                <w:highlight w:val="none"/>
              </w:rPr>
              <w:t>其他未列明行业</w:t>
            </w:r>
          </w:p>
        </w:tc>
        <w:tc>
          <w:tcPr>
            <w:tcW w:w="831" w:type="dxa"/>
          </w:tcPr>
          <w:p w14:paraId="64AB5A62">
            <w:pPr>
              <w:pStyle w:val="4"/>
              <w:rPr>
                <w:color w:val="auto"/>
                <w:highlight w:val="none"/>
              </w:rPr>
            </w:pPr>
            <w:r>
              <w:rPr>
                <w:color w:val="auto"/>
                <w:highlight w:val="none"/>
              </w:rPr>
              <w:t>详见附表一</w:t>
            </w:r>
          </w:p>
        </w:tc>
      </w:tr>
    </w:tbl>
    <w:p w14:paraId="5214DB8C">
      <w:pPr>
        <w:pStyle w:val="4"/>
        <w:rPr>
          <w:color w:val="auto"/>
          <w:highlight w:val="none"/>
        </w:rPr>
      </w:pPr>
      <w:r>
        <w:rPr>
          <w:color w:val="auto"/>
          <w:highlight w:val="none"/>
        </w:rPr>
        <w:t>备注：最终综合总报价=（各产品报价×各项产品权重）的相加值</w:t>
      </w:r>
    </w:p>
    <w:p w14:paraId="24FD34C9">
      <w:pPr>
        <w:pStyle w:val="4"/>
        <w:rPr>
          <w:color w:val="auto"/>
          <w:highlight w:val="none"/>
        </w:rPr>
      </w:pPr>
      <w:r>
        <w:rPr>
          <w:b/>
          <w:color w:val="auto"/>
          <w:highlight w:val="none"/>
        </w:rPr>
        <w:t>附表一：(建筑起重机械监督执法抽查检测服务（</w:t>
      </w:r>
      <w:r>
        <w:rPr>
          <w:rFonts w:hint="eastAsia"/>
          <w:b/>
          <w:color w:val="auto"/>
          <w:highlight w:val="none"/>
          <w:lang w:eastAsia="zh-CN"/>
        </w:rPr>
        <w:t>包组二</w:t>
      </w:r>
      <w:r>
        <w:rPr>
          <w:b/>
          <w:color w:val="auto"/>
          <w:highlight w:val="none"/>
        </w:rPr>
        <w: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21138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03635F1">
            <w:pPr>
              <w:pStyle w:val="4"/>
              <w:rPr>
                <w:color w:val="auto"/>
                <w:highlight w:val="none"/>
              </w:rPr>
            </w:pPr>
            <w:r>
              <w:rPr>
                <w:color w:val="auto"/>
                <w:highlight w:val="none"/>
              </w:rPr>
              <w:t>参数性质</w:t>
            </w:r>
          </w:p>
        </w:tc>
        <w:tc>
          <w:tcPr>
            <w:tcW w:w="415" w:type="dxa"/>
          </w:tcPr>
          <w:p w14:paraId="4BFB6D5A">
            <w:pPr>
              <w:pStyle w:val="4"/>
              <w:rPr>
                <w:color w:val="auto"/>
                <w:highlight w:val="none"/>
              </w:rPr>
            </w:pPr>
            <w:r>
              <w:rPr>
                <w:color w:val="auto"/>
                <w:highlight w:val="none"/>
              </w:rPr>
              <w:t>序号</w:t>
            </w:r>
          </w:p>
        </w:tc>
        <w:tc>
          <w:tcPr>
            <w:tcW w:w="5814" w:type="dxa"/>
          </w:tcPr>
          <w:p w14:paraId="4A85E9C6">
            <w:pPr>
              <w:pStyle w:val="4"/>
              <w:rPr>
                <w:color w:val="auto"/>
                <w:highlight w:val="none"/>
              </w:rPr>
            </w:pPr>
            <w:r>
              <w:rPr>
                <w:color w:val="auto"/>
                <w:highlight w:val="none"/>
              </w:rPr>
              <w:t>具体技术(参数)要求</w:t>
            </w:r>
          </w:p>
        </w:tc>
      </w:tr>
      <w:tr w14:paraId="744D7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E14B9F">
            <w:pPr>
              <w:rPr>
                <w:color w:val="auto"/>
                <w:highlight w:val="none"/>
              </w:rPr>
            </w:pPr>
          </w:p>
        </w:tc>
        <w:tc>
          <w:tcPr>
            <w:tcW w:w="415" w:type="dxa"/>
          </w:tcPr>
          <w:p w14:paraId="13493F8D">
            <w:pPr>
              <w:pStyle w:val="4"/>
              <w:rPr>
                <w:color w:val="auto"/>
                <w:highlight w:val="none"/>
              </w:rPr>
            </w:pPr>
            <w:r>
              <w:rPr>
                <w:color w:val="auto"/>
                <w:highlight w:val="none"/>
              </w:rPr>
              <w:t>1</w:t>
            </w:r>
          </w:p>
        </w:tc>
        <w:tc>
          <w:tcPr>
            <w:tcW w:w="5814" w:type="dxa"/>
          </w:tcPr>
          <w:p w14:paraId="46D937E4">
            <w:pPr>
              <w:pStyle w:val="4"/>
              <w:numPr>
                <w:ilvl w:val="0"/>
                <w:numId w:val="1"/>
              </w:numPr>
              <w:jc w:val="both"/>
              <w:rPr>
                <w:color w:val="auto"/>
                <w:highlight w:val="none"/>
              </w:rPr>
            </w:pPr>
            <w:r>
              <w:rPr>
                <w:b/>
                <w:color w:val="auto"/>
                <w:sz w:val="24"/>
                <w:highlight w:val="none"/>
              </w:rPr>
              <w:t>（1）工作内容</w:t>
            </w:r>
          </w:p>
          <w:p w14:paraId="541A387A">
            <w:pPr>
              <w:pStyle w:val="4"/>
              <w:ind w:firstLine="241"/>
              <w:jc w:val="both"/>
              <w:rPr>
                <w:color w:val="auto"/>
                <w:highlight w:val="none"/>
              </w:rPr>
            </w:pPr>
            <w:r>
              <w:rPr>
                <w:b/>
                <w:color w:val="auto"/>
                <w:sz w:val="21"/>
                <w:highlight w:val="none"/>
              </w:rPr>
              <w:t xml:space="preserve">   </w:t>
            </w:r>
            <w:r>
              <w:rPr>
                <w:color w:val="auto"/>
                <w:sz w:val="24"/>
                <w:highlight w:val="none"/>
              </w:rPr>
              <w:t>1）中标人全年按照每个季度或逐月提供监督执法抽查检测服务，如遇上级部门临时性检查需要或应急处置方面的工作需要，监督执法抽查检测工作可做相应调整。每个服务标段中标人在合同周期内需完成暂估合同5</w:t>
            </w:r>
            <w:r>
              <w:rPr>
                <w:rFonts w:hint="eastAsia"/>
                <w:color w:val="auto"/>
                <w:sz w:val="24"/>
                <w:highlight w:val="none"/>
                <w:lang w:val="en-US" w:eastAsia="zh-CN"/>
              </w:rPr>
              <w:t>5</w:t>
            </w:r>
            <w:r>
              <w:rPr>
                <w:color w:val="auto"/>
                <w:sz w:val="24"/>
                <w:highlight w:val="none"/>
              </w:rPr>
              <w:t>万元（含本值）以内的总工作量（辖区两个服务标段合计总费用为11</w:t>
            </w:r>
            <w:r>
              <w:rPr>
                <w:rFonts w:hint="eastAsia"/>
                <w:color w:val="auto"/>
                <w:sz w:val="24"/>
                <w:highlight w:val="none"/>
                <w:lang w:val="en-US" w:eastAsia="zh-CN"/>
              </w:rPr>
              <w:t>0</w:t>
            </w:r>
            <w:r>
              <w:rPr>
                <w:color w:val="auto"/>
                <w:sz w:val="24"/>
                <w:highlight w:val="none"/>
              </w:rPr>
              <w:t>万元，每个服务标段预算价为5</w:t>
            </w:r>
            <w:r>
              <w:rPr>
                <w:rFonts w:hint="eastAsia"/>
                <w:color w:val="auto"/>
                <w:sz w:val="24"/>
                <w:highlight w:val="none"/>
                <w:lang w:val="en-US" w:eastAsia="zh-CN"/>
              </w:rPr>
              <w:t>5</w:t>
            </w:r>
            <w:r>
              <w:rPr>
                <w:color w:val="auto"/>
                <w:sz w:val="24"/>
                <w:highlight w:val="none"/>
              </w:rPr>
              <w:t>万元），全年监督执法抽查检测的建筑起重机械根据采购人工作安排执行，每个服务标段预估总数量不少于</w:t>
            </w:r>
            <w:r>
              <w:rPr>
                <w:rFonts w:hint="eastAsia"/>
                <w:color w:val="auto"/>
                <w:sz w:val="24"/>
                <w:highlight w:val="none"/>
                <w:lang w:eastAsia="zh-CN"/>
              </w:rPr>
              <w:t>245</w:t>
            </w:r>
            <w:r>
              <w:rPr>
                <w:color w:val="auto"/>
                <w:sz w:val="24"/>
                <w:highlight w:val="none"/>
              </w:rPr>
              <w:t>台（每个中标单位检测台数不少于</w:t>
            </w:r>
            <w:r>
              <w:rPr>
                <w:rFonts w:hint="eastAsia"/>
                <w:color w:val="auto"/>
                <w:sz w:val="24"/>
                <w:highlight w:val="none"/>
                <w:lang w:eastAsia="zh-CN"/>
              </w:rPr>
              <w:t>245</w:t>
            </w:r>
            <w:r>
              <w:rPr>
                <w:color w:val="auto"/>
                <w:sz w:val="24"/>
                <w:highlight w:val="none"/>
              </w:rPr>
              <w:t>台，两个中标单位合计不少于</w:t>
            </w:r>
            <w:r>
              <w:rPr>
                <w:rFonts w:hint="eastAsia"/>
                <w:color w:val="auto"/>
                <w:sz w:val="24"/>
                <w:highlight w:val="none"/>
                <w:lang w:eastAsia="zh-CN"/>
              </w:rPr>
              <w:t>490</w:t>
            </w:r>
            <w:r>
              <w:rPr>
                <w:color w:val="auto"/>
                <w:sz w:val="24"/>
                <w:highlight w:val="none"/>
              </w:rPr>
              <w:t>台），主要涉及检测设备：塔式起重机、施工升降机、门式起重机、物料提升机、高处作业吊篮等。监督执法抽查检测的具体时间由采购人根据实际情况和工作需要确定。</w:t>
            </w:r>
          </w:p>
          <w:p w14:paraId="0D32B07A">
            <w:pPr>
              <w:pStyle w:val="4"/>
              <w:jc w:val="both"/>
              <w:rPr>
                <w:color w:val="auto"/>
                <w:highlight w:val="none"/>
              </w:rPr>
            </w:pPr>
            <w:r>
              <w:rPr>
                <w:color w:val="auto"/>
                <w:sz w:val="24"/>
                <w:highlight w:val="none"/>
              </w:rPr>
              <w:t xml:space="preserve">    2）中标人依据有关法律法规、标准规范，根据采购人的监督执法抽查检测工作计划及安排，对采购人辖区内监管的房屋建筑工程和市政工程工地安装使用的建筑起重机械进行监督执法抽查检测，并根据每台建筑起重机械的检测结果，逐台出具符合国家、省、市及行业相关法律法规及标准规范的检测报告。</w:t>
            </w:r>
          </w:p>
          <w:p w14:paraId="582C7992">
            <w:pPr>
              <w:pStyle w:val="4"/>
              <w:jc w:val="both"/>
              <w:rPr>
                <w:color w:val="auto"/>
                <w:highlight w:val="none"/>
              </w:rPr>
            </w:pPr>
            <w:r>
              <w:rPr>
                <w:color w:val="auto"/>
                <w:sz w:val="24"/>
                <w:highlight w:val="none"/>
              </w:rPr>
              <w:t xml:space="preserve">    3）中标人需每半年提交监督执法抽检分析总结工作报告（半年总结），在完成全部建筑起重机械监督执法抽查检测工作后，应在20个工作日内提交监督执法抽检分析总结工作报告（年度总结）。</w:t>
            </w:r>
          </w:p>
        </w:tc>
      </w:tr>
      <w:tr w14:paraId="203BB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79DE89">
            <w:pPr>
              <w:rPr>
                <w:color w:val="auto"/>
                <w:highlight w:val="none"/>
              </w:rPr>
            </w:pPr>
          </w:p>
        </w:tc>
        <w:tc>
          <w:tcPr>
            <w:tcW w:w="415" w:type="dxa"/>
          </w:tcPr>
          <w:p w14:paraId="55DD252A">
            <w:pPr>
              <w:pStyle w:val="4"/>
              <w:rPr>
                <w:color w:val="auto"/>
                <w:highlight w:val="none"/>
              </w:rPr>
            </w:pPr>
            <w:r>
              <w:rPr>
                <w:color w:val="auto"/>
                <w:highlight w:val="none"/>
              </w:rPr>
              <w:t>2</w:t>
            </w:r>
          </w:p>
        </w:tc>
        <w:tc>
          <w:tcPr>
            <w:tcW w:w="5814" w:type="dxa"/>
          </w:tcPr>
          <w:p w14:paraId="43B4F0F3">
            <w:pPr>
              <w:pStyle w:val="4"/>
              <w:numPr>
                <w:ilvl w:val="0"/>
                <w:numId w:val="1"/>
              </w:numPr>
              <w:jc w:val="both"/>
              <w:rPr>
                <w:color w:val="auto"/>
                <w:highlight w:val="none"/>
              </w:rPr>
            </w:pPr>
            <w:r>
              <w:rPr>
                <w:b/>
                <w:color w:val="auto"/>
                <w:sz w:val="24"/>
                <w:highlight w:val="none"/>
              </w:rPr>
              <w:t>（2）项目基本要求</w:t>
            </w:r>
          </w:p>
          <w:p w14:paraId="7808443E">
            <w:pPr>
              <w:pStyle w:val="4"/>
              <w:ind w:firstLine="480"/>
              <w:jc w:val="both"/>
              <w:rPr>
                <w:color w:val="auto"/>
                <w:highlight w:val="none"/>
              </w:rPr>
            </w:pPr>
            <w:r>
              <w:rPr>
                <w:color w:val="auto"/>
                <w:sz w:val="24"/>
                <w:highlight w:val="none"/>
              </w:rPr>
              <w:t>1）</w:t>
            </w:r>
            <w:r>
              <w:rPr>
                <w:rFonts w:hint="eastAsia"/>
                <w:color w:val="auto"/>
                <w:sz w:val="24"/>
                <w:highlight w:val="none"/>
              </w:rPr>
              <w:t>投标人应具有合法有效的特种设备检验检测机构核准证</w:t>
            </w:r>
            <w:r>
              <w:rPr>
                <w:color w:val="auto"/>
                <w:sz w:val="24"/>
                <w:highlight w:val="none"/>
              </w:rPr>
              <w:t>。</w:t>
            </w:r>
          </w:p>
          <w:p w14:paraId="0A31BD2E">
            <w:pPr>
              <w:pStyle w:val="4"/>
              <w:ind w:firstLine="480"/>
              <w:jc w:val="both"/>
              <w:rPr>
                <w:color w:val="auto"/>
                <w:highlight w:val="none"/>
              </w:rPr>
            </w:pPr>
            <w:r>
              <w:rPr>
                <w:color w:val="auto"/>
                <w:sz w:val="24"/>
                <w:highlight w:val="none"/>
              </w:rPr>
              <w:t>2） 投标人应对起重机械类有关的法律法规、标准规范熟悉掌握，透彻理解，并在项目实施中严格遵守执行。</w:t>
            </w:r>
          </w:p>
          <w:p w14:paraId="6A35CBF7">
            <w:pPr>
              <w:pStyle w:val="4"/>
              <w:ind w:firstLine="480"/>
              <w:jc w:val="both"/>
              <w:rPr>
                <w:color w:val="auto"/>
                <w:highlight w:val="none"/>
              </w:rPr>
            </w:pPr>
            <w:r>
              <w:rPr>
                <w:color w:val="auto"/>
                <w:sz w:val="24"/>
                <w:highlight w:val="none"/>
              </w:rPr>
              <w:t>3）中标人应指定项目负责人并配备专职检测人员，总人数不少于 5 人，其中项目负责人1人，检测人员不少于2 组，每组应至少有 2 人，所有人员应提供有效的检验资格证书和注册证书，并有相关工作经验，具体要求为：</w:t>
            </w:r>
          </w:p>
          <w:p w14:paraId="12CA5C71">
            <w:pPr>
              <w:pStyle w:val="4"/>
              <w:ind w:firstLine="480"/>
              <w:jc w:val="both"/>
              <w:rPr>
                <w:color w:val="auto"/>
                <w:sz w:val="24"/>
                <w:highlight w:val="none"/>
              </w:rPr>
            </w:pPr>
            <w:r>
              <w:rPr>
                <w:color w:val="auto"/>
                <w:sz w:val="24"/>
                <w:highlight w:val="none"/>
              </w:rPr>
              <w:t>1.1项目负责人要求：具备相关专业的中级工程师或以上职称，获得起重机械检验师资格证</w:t>
            </w:r>
            <w:r>
              <w:rPr>
                <w:rFonts w:hint="eastAsia"/>
                <w:color w:val="auto"/>
                <w:sz w:val="24"/>
                <w:highlight w:val="none"/>
                <w:lang w:val="en-US" w:eastAsia="zh-CN"/>
              </w:rPr>
              <w:t>，</w:t>
            </w:r>
            <w:r>
              <w:rPr>
                <w:color w:val="auto"/>
                <w:sz w:val="24"/>
                <w:highlight w:val="none"/>
              </w:rPr>
              <w:t>作为项目负责人负责过类似的检测项目；</w:t>
            </w:r>
          </w:p>
          <w:p w14:paraId="57CCE21D">
            <w:pPr>
              <w:pStyle w:val="4"/>
              <w:ind w:firstLine="480"/>
              <w:jc w:val="both"/>
              <w:rPr>
                <w:color w:val="auto"/>
                <w:highlight w:val="none"/>
              </w:rPr>
            </w:pPr>
            <w:r>
              <w:rPr>
                <w:color w:val="auto"/>
                <w:sz w:val="24"/>
                <w:highlight w:val="none"/>
              </w:rPr>
              <w:t>1.2检测人员要求：具备相关专业的助理工程师或以上职称，</w:t>
            </w:r>
            <w:r>
              <w:rPr>
                <w:rFonts w:hint="eastAsia"/>
                <w:color w:val="auto"/>
                <w:sz w:val="24"/>
                <w:highlight w:val="none"/>
              </w:rPr>
              <w:t>获得起重机械检验员证达2年或以上</w:t>
            </w:r>
            <w:r>
              <w:rPr>
                <w:color w:val="auto"/>
                <w:sz w:val="24"/>
                <w:highlight w:val="none"/>
              </w:rPr>
              <w:t>，能够胜任本项目规定的检验检测服务工作；</w:t>
            </w:r>
          </w:p>
          <w:p w14:paraId="79F592E1">
            <w:pPr>
              <w:pStyle w:val="4"/>
              <w:ind w:firstLine="480"/>
              <w:jc w:val="both"/>
              <w:rPr>
                <w:color w:val="auto"/>
                <w:highlight w:val="none"/>
              </w:rPr>
            </w:pPr>
            <w:r>
              <w:rPr>
                <w:color w:val="auto"/>
                <w:sz w:val="24"/>
                <w:highlight w:val="none"/>
              </w:rPr>
              <w:t>1.3未经采购人同意不得更换项目负责人及检测人员，合同附件须有检测人员资格证书和注册证书扫描件。</w:t>
            </w:r>
          </w:p>
          <w:p w14:paraId="70F26215">
            <w:pPr>
              <w:pStyle w:val="4"/>
              <w:ind w:firstLine="480"/>
              <w:jc w:val="both"/>
              <w:rPr>
                <w:color w:val="auto"/>
                <w:highlight w:val="none"/>
              </w:rPr>
            </w:pPr>
            <w:r>
              <w:rPr>
                <w:color w:val="auto"/>
                <w:sz w:val="24"/>
                <w:highlight w:val="none"/>
              </w:rPr>
              <w:t>4） 中标人在满足上述第三点要求的基础上，如增加投入副高级或以上技术职称的起重机械检验师的，则对于拟多投入副高级或以上技术职称的起重机械检验师具体要求：</w:t>
            </w:r>
          </w:p>
          <w:p w14:paraId="4DC6D95D">
            <w:pPr>
              <w:pStyle w:val="4"/>
              <w:ind w:firstLine="480"/>
              <w:jc w:val="both"/>
              <w:rPr>
                <w:color w:val="auto"/>
                <w:highlight w:val="none"/>
              </w:rPr>
            </w:pPr>
            <w:r>
              <w:rPr>
                <w:color w:val="auto"/>
                <w:sz w:val="24"/>
                <w:highlight w:val="none"/>
              </w:rPr>
              <w:t>1.1拟多投入一名副高级或以上技术职称的起重机械检验师，须参与本项目全年抽检工作量的20%或以上；</w:t>
            </w:r>
          </w:p>
          <w:p w14:paraId="266114D0">
            <w:pPr>
              <w:pStyle w:val="4"/>
              <w:ind w:firstLine="480"/>
              <w:jc w:val="both"/>
              <w:rPr>
                <w:color w:val="auto"/>
                <w:highlight w:val="none"/>
              </w:rPr>
            </w:pPr>
            <w:r>
              <w:rPr>
                <w:color w:val="auto"/>
                <w:sz w:val="24"/>
                <w:highlight w:val="none"/>
              </w:rPr>
              <w:t>1.2拟多投入两名副高级或以上技术职称的起重机械检验师，须参与本项目全年抽检工作量的40%或以上；</w:t>
            </w:r>
          </w:p>
          <w:p w14:paraId="2259B34B">
            <w:pPr>
              <w:pStyle w:val="4"/>
              <w:ind w:firstLine="480"/>
              <w:jc w:val="both"/>
              <w:rPr>
                <w:color w:val="auto"/>
                <w:highlight w:val="none"/>
              </w:rPr>
            </w:pPr>
            <w:r>
              <w:rPr>
                <w:color w:val="auto"/>
                <w:sz w:val="24"/>
                <w:highlight w:val="none"/>
              </w:rPr>
              <w:t>1.3拟多投入大于等于三名副高级或以上技术职称的起重机械检验师，须参与本项目全年抽检工作量的60%或以上。</w:t>
            </w:r>
          </w:p>
          <w:p w14:paraId="1AC02175">
            <w:pPr>
              <w:pStyle w:val="4"/>
              <w:ind w:firstLine="480"/>
              <w:jc w:val="both"/>
              <w:rPr>
                <w:color w:val="auto"/>
                <w:highlight w:val="none"/>
              </w:rPr>
            </w:pPr>
            <w:r>
              <w:rPr>
                <w:color w:val="auto"/>
                <w:sz w:val="24"/>
                <w:highlight w:val="none"/>
              </w:rPr>
              <w:t>5) 采购人可对中标人的项目负责人或项目实施人员提出合理化建议，中标人应积极配合。</w:t>
            </w:r>
          </w:p>
          <w:p w14:paraId="0DD6870E">
            <w:pPr>
              <w:pStyle w:val="4"/>
              <w:ind w:firstLine="480"/>
              <w:jc w:val="both"/>
              <w:rPr>
                <w:color w:val="auto"/>
                <w:highlight w:val="none"/>
              </w:rPr>
            </w:pPr>
            <w:r>
              <w:rPr>
                <w:color w:val="auto"/>
                <w:sz w:val="24"/>
                <w:highlight w:val="none"/>
              </w:rPr>
              <w:t>6) 中标人根据采购人监督检查工作需要，合理、优化安排检测时间，保证在接到采购人指令48小时内到场进行检测工作。</w:t>
            </w:r>
          </w:p>
          <w:p w14:paraId="3C5E8208">
            <w:pPr>
              <w:pStyle w:val="4"/>
              <w:ind w:firstLine="480"/>
              <w:jc w:val="both"/>
              <w:rPr>
                <w:color w:val="auto"/>
                <w:highlight w:val="none"/>
              </w:rPr>
            </w:pPr>
            <w:r>
              <w:rPr>
                <w:color w:val="auto"/>
                <w:sz w:val="24"/>
                <w:highlight w:val="none"/>
              </w:rPr>
              <w:t>7） 中标人提交的检验检测报告应符合国家、省、市及行业相关法律法规及标准规范的规定。</w:t>
            </w:r>
          </w:p>
          <w:p w14:paraId="71C905F5">
            <w:pPr>
              <w:pStyle w:val="4"/>
              <w:ind w:firstLine="480"/>
              <w:jc w:val="both"/>
              <w:rPr>
                <w:color w:val="auto"/>
                <w:highlight w:val="none"/>
              </w:rPr>
            </w:pPr>
            <w:r>
              <w:rPr>
                <w:color w:val="auto"/>
                <w:sz w:val="24"/>
                <w:highlight w:val="none"/>
              </w:rPr>
              <w:t>8） 采购人有权根据服务质量及成果，要求更换相关检测人员，中标人应予以配合。</w:t>
            </w:r>
          </w:p>
          <w:p w14:paraId="04337E32">
            <w:pPr>
              <w:pStyle w:val="4"/>
              <w:ind w:firstLine="480"/>
              <w:jc w:val="both"/>
              <w:rPr>
                <w:color w:val="auto"/>
                <w:highlight w:val="none"/>
              </w:rPr>
            </w:pPr>
            <w:r>
              <w:rPr>
                <w:color w:val="auto"/>
                <w:sz w:val="24"/>
                <w:highlight w:val="none"/>
              </w:rPr>
              <w:t>9）中标人应自行配备监督执法抽查检测服务所需的各种检测仪器设备、个人装备及劳保用品、检测用车辆等。</w:t>
            </w:r>
          </w:p>
          <w:p w14:paraId="09EE61D6">
            <w:pPr>
              <w:pStyle w:val="4"/>
              <w:ind w:firstLine="480"/>
              <w:jc w:val="both"/>
              <w:rPr>
                <w:color w:val="auto"/>
                <w:highlight w:val="none"/>
              </w:rPr>
            </w:pPr>
            <w:r>
              <w:rPr>
                <w:color w:val="auto"/>
                <w:sz w:val="24"/>
                <w:highlight w:val="none"/>
              </w:rPr>
              <w:t>10）中标人应做好廉政风险防控，不得利用本次政府采购业务关系，通过任何形式接受、索要相关单位或人员的礼金、有价证券、贵重物品、好处费、感谢费等。</w:t>
            </w:r>
          </w:p>
        </w:tc>
      </w:tr>
      <w:tr w14:paraId="6DFF2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EDC44F">
            <w:pPr>
              <w:rPr>
                <w:color w:val="auto"/>
                <w:highlight w:val="none"/>
              </w:rPr>
            </w:pPr>
          </w:p>
        </w:tc>
        <w:tc>
          <w:tcPr>
            <w:tcW w:w="415" w:type="dxa"/>
          </w:tcPr>
          <w:p w14:paraId="1DE4E518">
            <w:pPr>
              <w:pStyle w:val="4"/>
              <w:rPr>
                <w:color w:val="auto"/>
                <w:highlight w:val="none"/>
              </w:rPr>
            </w:pPr>
            <w:r>
              <w:rPr>
                <w:color w:val="auto"/>
                <w:highlight w:val="none"/>
              </w:rPr>
              <w:t>3</w:t>
            </w:r>
          </w:p>
        </w:tc>
        <w:tc>
          <w:tcPr>
            <w:tcW w:w="5814" w:type="dxa"/>
          </w:tcPr>
          <w:p w14:paraId="2FE61F96">
            <w:pPr>
              <w:pStyle w:val="4"/>
              <w:ind w:firstLine="241"/>
              <w:jc w:val="both"/>
              <w:rPr>
                <w:color w:val="auto"/>
                <w:highlight w:val="none"/>
              </w:rPr>
            </w:pPr>
            <w:r>
              <w:rPr>
                <w:b/>
                <w:color w:val="auto"/>
                <w:sz w:val="24"/>
                <w:highlight w:val="none"/>
              </w:rPr>
              <w:t>（3）报价要求</w:t>
            </w:r>
          </w:p>
          <w:p w14:paraId="4BE2447C">
            <w:pPr>
              <w:pStyle w:val="4"/>
              <w:ind w:firstLine="480"/>
              <w:jc w:val="left"/>
              <w:rPr>
                <w:color w:val="auto"/>
                <w:highlight w:val="none"/>
              </w:rPr>
            </w:pPr>
            <w:r>
              <w:rPr>
                <w:color w:val="auto"/>
                <w:sz w:val="24"/>
                <w:highlight w:val="none"/>
              </w:rPr>
              <w:t>1）辖区两个服务标段合计总费用为11</w:t>
            </w:r>
            <w:r>
              <w:rPr>
                <w:rFonts w:hint="eastAsia"/>
                <w:color w:val="auto"/>
                <w:sz w:val="24"/>
                <w:highlight w:val="none"/>
                <w:lang w:val="en-US" w:eastAsia="zh-CN"/>
              </w:rPr>
              <w:t>0</w:t>
            </w:r>
            <w:r>
              <w:rPr>
                <w:color w:val="auto"/>
                <w:sz w:val="24"/>
                <w:highlight w:val="none"/>
              </w:rPr>
              <w:t>万元，每个采购包预算价：5</w:t>
            </w:r>
            <w:r>
              <w:rPr>
                <w:rFonts w:hint="eastAsia"/>
                <w:color w:val="auto"/>
                <w:sz w:val="24"/>
                <w:highlight w:val="none"/>
                <w:lang w:val="en-US" w:eastAsia="zh-CN"/>
              </w:rPr>
              <w:t>50000.00</w:t>
            </w:r>
            <w:r>
              <w:rPr>
                <w:color w:val="auto"/>
                <w:sz w:val="24"/>
                <w:highlight w:val="none"/>
              </w:rPr>
              <w:t>元，每个采购包各项单价最高限价如下：塔式起重机：2300元/台；施工升降机：2000元/台；门式起重机2850元/台；物料提升机：12</w:t>
            </w:r>
            <w:r>
              <w:rPr>
                <w:rFonts w:hint="eastAsia"/>
                <w:color w:val="auto"/>
                <w:sz w:val="24"/>
                <w:highlight w:val="none"/>
                <w:lang w:val="en-US" w:eastAsia="zh-CN"/>
              </w:rPr>
              <w:t>0</w:t>
            </w:r>
            <w:r>
              <w:rPr>
                <w:color w:val="auto"/>
                <w:sz w:val="24"/>
                <w:highlight w:val="none"/>
              </w:rPr>
              <w:t>0元/台；高处作业吊篮：11</w:t>
            </w:r>
            <w:r>
              <w:rPr>
                <w:rFonts w:hint="eastAsia"/>
                <w:color w:val="auto"/>
                <w:sz w:val="24"/>
                <w:highlight w:val="none"/>
                <w:lang w:val="en-US" w:eastAsia="zh-CN"/>
              </w:rPr>
              <w:t>0</w:t>
            </w:r>
            <w:r>
              <w:rPr>
                <w:color w:val="auto"/>
                <w:sz w:val="24"/>
                <w:highlight w:val="none"/>
              </w:rPr>
              <w:t>0元/台。报价实行单价限价，若单价报价超过最高限价，将被视为无效报价。整体项目单价包干、总价按采购预算价控制，最终按中标单价及实际审查宗数结算。</w:t>
            </w:r>
          </w:p>
          <w:p w14:paraId="094AC975">
            <w:pPr>
              <w:pStyle w:val="4"/>
              <w:ind w:firstLine="480"/>
              <w:jc w:val="left"/>
              <w:rPr>
                <w:color w:val="auto"/>
                <w:highlight w:val="none"/>
              </w:rPr>
            </w:pPr>
            <w:r>
              <w:rPr>
                <w:color w:val="auto"/>
                <w:sz w:val="24"/>
                <w:highlight w:val="none"/>
              </w:rPr>
              <w:t>2） 投标报价中必须包括项目所需的场地费、设备费、耗材费、工作人员的工资费、差旅费、材料费、保险费、办证所需的一切费用、相关管理费及税费等合同实施过程中的应预见和不可预见费用等完成本采购内容所需的一切费用及企业利润(如应安置户及政府职能部门缴交的费用除外），并应包含应由中标人缴纳的本次招标代理服务费。</w:t>
            </w:r>
          </w:p>
          <w:p w14:paraId="6C5295A9">
            <w:pPr>
              <w:pStyle w:val="4"/>
              <w:ind w:firstLine="480"/>
              <w:jc w:val="left"/>
              <w:rPr>
                <w:color w:val="auto"/>
                <w:highlight w:val="none"/>
              </w:rPr>
            </w:pPr>
            <w:r>
              <w:rPr>
                <w:color w:val="auto"/>
                <w:sz w:val="24"/>
                <w:highlight w:val="none"/>
              </w:rPr>
              <w:t>3）投标人必须自行考虑在本项目服务实施期间的一切可能产生的费用(如应安置户及政府职能部门缴交的费用除外），在项目的实施过程中，采购人除了支付合同规定的款项外，一切合同规定外的费用将拒绝支付。</w:t>
            </w:r>
          </w:p>
          <w:p w14:paraId="19CF9095">
            <w:pPr>
              <w:pStyle w:val="4"/>
              <w:ind w:firstLine="480"/>
              <w:jc w:val="left"/>
              <w:rPr>
                <w:color w:val="auto"/>
                <w:highlight w:val="none"/>
              </w:rPr>
            </w:pPr>
            <w:r>
              <w:rPr>
                <w:color w:val="auto"/>
                <w:sz w:val="24"/>
                <w:highlight w:val="none"/>
              </w:rPr>
              <w:t>4）投标人应根据企业自身能力报出各单项服务费统一的投标折扣(%)（例如：塔式起重机单价为2300元，投标折扣率为90%，该项投标单价：2300元*90%=2070元），0&lt;投标折扣≤100%。该投标折扣率必须为唯一且固定的(如60%等)，不得存在区间值(如55%-65%等)。</w:t>
            </w:r>
          </w:p>
          <w:p w14:paraId="03DB46B4">
            <w:pPr>
              <w:pStyle w:val="4"/>
              <w:ind w:firstLine="480"/>
              <w:jc w:val="left"/>
              <w:rPr>
                <w:color w:val="auto"/>
                <w:highlight w:val="none"/>
              </w:rPr>
            </w:pPr>
            <w:r>
              <w:rPr>
                <w:color w:val="auto"/>
                <w:sz w:val="24"/>
                <w:highlight w:val="none"/>
              </w:rPr>
              <w:t>5）投标人所报投标折扣低于成本价的，必须在投标文件中提供报价说明，并提交相关证明材料证明其报价合理性。评标委员会认为投标人不能证明其报价合理性的，或有可能影响产品质量或者不能诚信履约的，应当将其作为无效投标处理。</w:t>
            </w:r>
          </w:p>
          <w:p w14:paraId="1E59D904">
            <w:pPr>
              <w:pStyle w:val="4"/>
              <w:ind w:firstLine="480"/>
              <w:jc w:val="left"/>
              <w:rPr>
                <w:color w:val="auto"/>
                <w:highlight w:val="none"/>
              </w:rPr>
            </w:pPr>
            <w:r>
              <w:rPr>
                <w:color w:val="auto"/>
                <w:sz w:val="24"/>
                <w:highlight w:val="none"/>
              </w:rPr>
              <w:t>6）本项目工作量结算金额累计达到采购预算金额，合同服务期内，根据采购人的相关工作需求，中标人还应给予技术指导并提供相关技术咨询服务。</w:t>
            </w:r>
          </w:p>
          <w:p w14:paraId="56D0FFDE">
            <w:pPr>
              <w:pStyle w:val="4"/>
              <w:ind w:firstLine="480"/>
              <w:jc w:val="left"/>
              <w:rPr>
                <w:color w:val="auto"/>
                <w:highlight w:val="none"/>
              </w:rPr>
            </w:pPr>
            <w:r>
              <w:rPr>
                <w:color w:val="auto"/>
                <w:sz w:val="24"/>
                <w:highlight w:val="none"/>
              </w:rPr>
              <w:t>7）补充说明：</w:t>
            </w:r>
          </w:p>
          <w:p w14:paraId="7EF9C290">
            <w:pPr>
              <w:pStyle w:val="4"/>
              <w:ind w:firstLine="480"/>
              <w:jc w:val="left"/>
              <w:rPr>
                <w:color w:val="auto"/>
                <w:highlight w:val="none"/>
              </w:rPr>
            </w:pPr>
            <w:r>
              <w:rPr>
                <w:color w:val="auto"/>
                <w:sz w:val="24"/>
                <w:highlight w:val="none"/>
              </w:rPr>
              <w:t>中标人在服务期内如有以下问题，一经查实，采购人有权取消中标人的服务资格，其替补资格由参加投标时有效投标供应商综合得分排序由高至低依次候补替换取得；</w:t>
            </w:r>
          </w:p>
          <w:p w14:paraId="1A803647">
            <w:pPr>
              <w:pStyle w:val="4"/>
              <w:ind w:firstLine="480"/>
              <w:jc w:val="left"/>
              <w:rPr>
                <w:color w:val="auto"/>
                <w:highlight w:val="none"/>
              </w:rPr>
            </w:pPr>
            <w:r>
              <w:rPr>
                <w:color w:val="auto"/>
                <w:sz w:val="24"/>
                <w:highlight w:val="none"/>
              </w:rPr>
              <w:t>1.1中标供应商提供虚假信息，误导或欺骗采购人，以谋取非法利益；</w:t>
            </w:r>
          </w:p>
          <w:p w14:paraId="5F3463C7">
            <w:pPr>
              <w:pStyle w:val="4"/>
              <w:ind w:firstLine="480"/>
              <w:jc w:val="left"/>
              <w:rPr>
                <w:color w:val="auto"/>
                <w:highlight w:val="none"/>
              </w:rPr>
            </w:pPr>
            <w:r>
              <w:rPr>
                <w:color w:val="auto"/>
                <w:sz w:val="24"/>
                <w:highlight w:val="none"/>
              </w:rPr>
              <w:t>1.2无正当理由拒绝采购人的委托；</w:t>
            </w:r>
          </w:p>
          <w:p w14:paraId="1D321EA4">
            <w:pPr>
              <w:pStyle w:val="4"/>
              <w:ind w:firstLine="480"/>
              <w:jc w:val="left"/>
              <w:rPr>
                <w:color w:val="auto"/>
                <w:highlight w:val="none"/>
              </w:rPr>
            </w:pPr>
            <w:r>
              <w:rPr>
                <w:color w:val="auto"/>
                <w:sz w:val="24"/>
                <w:highlight w:val="none"/>
              </w:rPr>
              <w:t>1.3中标人违反了诚实信用和投标承诺，没有严格执行相关质量、服务和收费标准，损害采购人或第三方的利益；</w:t>
            </w:r>
          </w:p>
          <w:p w14:paraId="53B1D6E2">
            <w:pPr>
              <w:pStyle w:val="4"/>
              <w:ind w:firstLine="480"/>
              <w:jc w:val="left"/>
              <w:rPr>
                <w:color w:val="auto"/>
                <w:highlight w:val="none"/>
              </w:rPr>
            </w:pPr>
            <w:r>
              <w:rPr>
                <w:color w:val="auto"/>
                <w:sz w:val="24"/>
                <w:highlight w:val="none"/>
              </w:rPr>
              <w:t>1.4拒绝接受采购人和相关部门监督和检查的；</w:t>
            </w:r>
          </w:p>
          <w:p w14:paraId="10BB258E">
            <w:pPr>
              <w:pStyle w:val="4"/>
              <w:ind w:firstLine="480"/>
              <w:jc w:val="left"/>
              <w:rPr>
                <w:color w:val="auto"/>
                <w:highlight w:val="none"/>
              </w:rPr>
            </w:pPr>
            <w:r>
              <w:rPr>
                <w:color w:val="auto"/>
                <w:sz w:val="24"/>
                <w:highlight w:val="none"/>
              </w:rPr>
              <w:t>1.5中标人出现信用危机、财务危机、经营危机甚至破产、倒闭，无法继续履行合同（协议）；</w:t>
            </w:r>
          </w:p>
          <w:p w14:paraId="2EA9F878">
            <w:pPr>
              <w:pStyle w:val="4"/>
              <w:ind w:firstLine="480"/>
              <w:jc w:val="left"/>
              <w:rPr>
                <w:color w:val="auto"/>
                <w:highlight w:val="none"/>
              </w:rPr>
            </w:pPr>
            <w:r>
              <w:rPr>
                <w:color w:val="auto"/>
                <w:sz w:val="24"/>
                <w:highlight w:val="none"/>
              </w:rPr>
              <w:t>1.6中标人采用非法手段进行不正当竞争的，造成恶劣影响；</w:t>
            </w:r>
          </w:p>
          <w:p w14:paraId="5512C5FD">
            <w:pPr>
              <w:pStyle w:val="4"/>
              <w:ind w:firstLine="480"/>
              <w:jc w:val="both"/>
              <w:rPr>
                <w:color w:val="auto"/>
                <w:highlight w:val="none"/>
              </w:rPr>
            </w:pPr>
            <w:r>
              <w:rPr>
                <w:color w:val="auto"/>
                <w:sz w:val="24"/>
                <w:highlight w:val="none"/>
              </w:rPr>
              <w:t>1.7中标人违反相关行业法律法规受到有关部门惩处或成果文件、报告发生重大失误造成恶劣影响的。</w:t>
            </w:r>
          </w:p>
        </w:tc>
      </w:tr>
      <w:tr w14:paraId="7B45B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DB57D5">
            <w:pPr>
              <w:rPr>
                <w:color w:val="auto"/>
                <w:highlight w:val="none"/>
              </w:rPr>
            </w:pPr>
          </w:p>
        </w:tc>
        <w:tc>
          <w:tcPr>
            <w:tcW w:w="415" w:type="dxa"/>
          </w:tcPr>
          <w:p w14:paraId="1F10CC0D">
            <w:pPr>
              <w:pStyle w:val="4"/>
              <w:rPr>
                <w:color w:val="auto"/>
                <w:highlight w:val="none"/>
              </w:rPr>
            </w:pPr>
            <w:r>
              <w:rPr>
                <w:color w:val="auto"/>
                <w:highlight w:val="none"/>
              </w:rPr>
              <w:t>4</w:t>
            </w:r>
          </w:p>
        </w:tc>
        <w:tc>
          <w:tcPr>
            <w:tcW w:w="5814" w:type="dxa"/>
          </w:tcPr>
          <w:p w14:paraId="26598218">
            <w:pPr>
              <w:pStyle w:val="4"/>
              <w:ind w:firstLine="240"/>
              <w:jc w:val="both"/>
              <w:rPr>
                <w:color w:val="auto"/>
                <w:highlight w:val="none"/>
              </w:rPr>
            </w:pPr>
            <w:r>
              <w:rPr>
                <w:b/>
                <w:color w:val="auto"/>
                <w:sz w:val="24"/>
                <w:highlight w:val="none"/>
              </w:rPr>
              <w:t>（4）工作要求</w:t>
            </w:r>
          </w:p>
          <w:p w14:paraId="701204E0">
            <w:pPr>
              <w:pStyle w:val="4"/>
              <w:ind w:firstLine="240"/>
              <w:jc w:val="both"/>
              <w:rPr>
                <w:color w:val="auto"/>
                <w:highlight w:val="none"/>
              </w:rPr>
            </w:pPr>
            <w:r>
              <w:rPr>
                <w:color w:val="auto"/>
                <w:sz w:val="24"/>
                <w:highlight w:val="none"/>
              </w:rPr>
              <w:t xml:space="preserve"> 1）监督执法抽查检测工作应遵守计划性和随机性有机结合原则，实事求是，公平公正，不弄虚作假，严格按照工作程序要求进行监督执法抽查检测工作，规范工地现场执法行为。</w:t>
            </w:r>
          </w:p>
          <w:p w14:paraId="333370D3">
            <w:pPr>
              <w:pStyle w:val="4"/>
              <w:jc w:val="both"/>
              <w:rPr>
                <w:color w:val="auto"/>
                <w:highlight w:val="none"/>
              </w:rPr>
            </w:pPr>
            <w:r>
              <w:rPr>
                <w:color w:val="auto"/>
                <w:sz w:val="24"/>
                <w:highlight w:val="none"/>
              </w:rPr>
              <w:t xml:space="preserve">   2）中标人应服从采购人的现场管理要求，及时反馈抽检初步意见，按时提交客观公正的检测报告和相关资料。服务单位还应给予技术指导并提供相关技术咨询，阶段性总结监督执法抽查检测工作经验，分析工作成效，对存在的问题隐患进行分析，提出应对措施及合理化建议，并形成半年和全年总结报告。</w:t>
            </w:r>
          </w:p>
          <w:p w14:paraId="48080AAB">
            <w:pPr>
              <w:pStyle w:val="4"/>
              <w:ind w:firstLine="240"/>
              <w:jc w:val="left"/>
              <w:rPr>
                <w:color w:val="auto"/>
                <w:highlight w:val="none"/>
              </w:rPr>
            </w:pPr>
            <w:r>
              <w:rPr>
                <w:color w:val="auto"/>
                <w:sz w:val="24"/>
                <w:highlight w:val="none"/>
              </w:rPr>
              <w:t>3）本项目工作量结算金额累计达到采购预算金额，合同服务期内，根据采购人的相关工作需求，中标人还应给予技术指导并提供相关技术咨询服务。</w:t>
            </w:r>
          </w:p>
          <w:p w14:paraId="0FCFA1D3">
            <w:pPr>
              <w:pStyle w:val="4"/>
              <w:jc w:val="both"/>
              <w:rPr>
                <w:color w:val="auto"/>
                <w:highlight w:val="none"/>
              </w:rPr>
            </w:pPr>
            <w:r>
              <w:rPr>
                <w:color w:val="auto"/>
                <w:sz w:val="21"/>
                <w:highlight w:val="none"/>
              </w:rPr>
              <w:t xml:space="preserve">   </w:t>
            </w:r>
            <w:r>
              <w:rPr>
                <w:color w:val="auto"/>
                <w:sz w:val="24"/>
                <w:highlight w:val="none"/>
              </w:rPr>
              <w:t>4）中标人人员不得收受被检项目的礼品、红包，不得非法竞争、扰乱市场，否则将依照相关规定及合同条款严肃处理。</w:t>
            </w:r>
          </w:p>
          <w:p w14:paraId="7D62B469">
            <w:pPr>
              <w:pStyle w:val="4"/>
              <w:jc w:val="both"/>
              <w:rPr>
                <w:color w:val="auto"/>
                <w:highlight w:val="none"/>
              </w:rPr>
            </w:pPr>
            <w:r>
              <w:rPr>
                <w:color w:val="auto"/>
                <w:sz w:val="21"/>
                <w:highlight w:val="none"/>
              </w:rPr>
              <w:t xml:space="preserve">  </w:t>
            </w:r>
            <w:r>
              <w:rPr>
                <w:color w:val="auto"/>
                <w:sz w:val="24"/>
                <w:highlight w:val="none"/>
              </w:rPr>
              <w:t xml:space="preserve"> 5）中标人应严格遵守党纪、政纪、国家法律法规及各项廉政规定，认真履行工作职责，公正执法，廉洁自律。</w:t>
            </w:r>
          </w:p>
        </w:tc>
      </w:tr>
      <w:tr w14:paraId="3DE4D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5B4F92">
            <w:pPr>
              <w:pStyle w:val="4"/>
              <w:rPr>
                <w:color w:val="auto"/>
                <w:highlight w:val="none"/>
              </w:rPr>
            </w:pPr>
            <w:r>
              <w:rPr>
                <w:color w:val="auto"/>
                <w:highlight w:val="none"/>
              </w:rPr>
              <w:t>说明</w:t>
            </w:r>
          </w:p>
        </w:tc>
        <w:tc>
          <w:tcPr>
            <w:tcW w:w="6229" w:type="dxa"/>
            <w:gridSpan w:val="2"/>
          </w:tcPr>
          <w:p w14:paraId="74771A0E">
            <w:pPr>
              <w:pStyle w:val="4"/>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1080ED89">
      <w:pPr>
        <w:pStyle w:val="4"/>
        <w:rPr>
          <w:color w:val="auto"/>
          <w:highlight w:val="none"/>
        </w:rPr>
      </w:pPr>
      <w:r>
        <w:rPr>
          <w:color w:val="auto"/>
          <w:highlight w:val="none"/>
        </w:rPr>
        <w:t xml:space="preserve">  </w:t>
      </w:r>
    </w:p>
    <w:p w14:paraId="4AB1F93A">
      <w:pPr>
        <w:pStyle w:val="4"/>
        <w:rPr>
          <w:rFonts w:hint="eastAsia"/>
          <w:color w:val="auto"/>
          <w:highlight w:val="none"/>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4F6D53"/>
    <w:rsid w:val="029817AF"/>
    <w:rsid w:val="03ED3BD7"/>
    <w:rsid w:val="03FD5310"/>
    <w:rsid w:val="04BE5FB8"/>
    <w:rsid w:val="073D1A7F"/>
    <w:rsid w:val="08231BEF"/>
    <w:rsid w:val="0AA8696B"/>
    <w:rsid w:val="13973E82"/>
    <w:rsid w:val="147C5547"/>
    <w:rsid w:val="156A1844"/>
    <w:rsid w:val="177F50ED"/>
    <w:rsid w:val="194F2980"/>
    <w:rsid w:val="1BD82CF1"/>
    <w:rsid w:val="1C410F4E"/>
    <w:rsid w:val="1D9D1D87"/>
    <w:rsid w:val="208235AF"/>
    <w:rsid w:val="23B8722A"/>
    <w:rsid w:val="24FD1D8D"/>
    <w:rsid w:val="26B04A0F"/>
    <w:rsid w:val="276C144B"/>
    <w:rsid w:val="29171F0B"/>
    <w:rsid w:val="29976E5E"/>
    <w:rsid w:val="29C6216B"/>
    <w:rsid w:val="30376D3B"/>
    <w:rsid w:val="33B6731A"/>
    <w:rsid w:val="348249F1"/>
    <w:rsid w:val="3ABD4362"/>
    <w:rsid w:val="409B3302"/>
    <w:rsid w:val="40CA0701"/>
    <w:rsid w:val="42E36169"/>
    <w:rsid w:val="44331F88"/>
    <w:rsid w:val="4BC860F1"/>
    <w:rsid w:val="4D137AF0"/>
    <w:rsid w:val="4DB223C1"/>
    <w:rsid w:val="4E3B5550"/>
    <w:rsid w:val="4E6E6116"/>
    <w:rsid w:val="53B52B8D"/>
    <w:rsid w:val="53BA224D"/>
    <w:rsid w:val="560E3AE1"/>
    <w:rsid w:val="5F30008D"/>
    <w:rsid w:val="5F6E26A6"/>
    <w:rsid w:val="60966EE2"/>
    <w:rsid w:val="61BE6D19"/>
    <w:rsid w:val="62FA0AFC"/>
    <w:rsid w:val="6D082649"/>
    <w:rsid w:val="6D6316BC"/>
    <w:rsid w:val="6FAB658A"/>
    <w:rsid w:val="70495C89"/>
    <w:rsid w:val="70767B11"/>
    <w:rsid w:val="72D04E31"/>
    <w:rsid w:val="75981E90"/>
    <w:rsid w:val="77F79321"/>
    <w:rsid w:val="79D6777C"/>
    <w:rsid w:val="7AF26311"/>
    <w:rsid w:val="7C0E60D1"/>
    <w:rsid w:val="7FD35A7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customStyle="1" w:styleId="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4420</Words>
  <Characters>4904</Characters>
  <Lines>0</Lines>
  <Paragraphs>0</Paragraphs>
  <TotalTime>4</TotalTime>
  <ScaleCrop>false</ScaleCrop>
  <LinksUpToDate>false</LinksUpToDate>
  <CharactersWithSpaces>4975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Lin</cp:lastModifiedBy>
  <dcterms:modified xsi:type="dcterms:W3CDTF">2026-03-13T09:57:29Z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eyJoZGlkIjoiZTg5MDExOTIzZmExOTUxNGU0Yjc5ZjA3YzI0MTJlZWUiLCJ1c2VySWQiOiI0MTA1NDcwMTYifQ==</vt:lpwstr>
  </property>
  <property fmtid="{D5CDD505-2E9C-101B-9397-08002B2CF9AE}" pid="4" name="ICV">
    <vt:lpwstr>F24E3C816733448296D7CC6A770050F8_13</vt:lpwstr>
  </property>
</Properties>
</file>